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D0" w:rsidRPr="0083096F" w:rsidRDefault="00DD06D0" w:rsidP="00DD06D0">
      <w:pPr>
        <w:tabs>
          <w:tab w:val="left" w:pos="4253"/>
        </w:tabs>
        <w:rPr>
          <w:noProof/>
          <w:sz w:val="36"/>
          <w:szCs w:val="36"/>
          <w:lang w:eastAsia="en-AU"/>
        </w:rPr>
      </w:pPr>
    </w:p>
    <w:p w:rsidR="0083096F" w:rsidRDefault="0083096F" w:rsidP="0083096F">
      <w:pPr>
        <w:tabs>
          <w:tab w:val="left" w:pos="4253"/>
        </w:tabs>
        <w:jc w:val="center"/>
        <w:rPr>
          <w:rFonts w:ascii="Gill Sans MT" w:hAnsi="Gill Sans MT"/>
          <w:noProof/>
          <w:sz w:val="52"/>
          <w:szCs w:val="52"/>
          <w:lang w:eastAsia="en-AU"/>
        </w:rPr>
      </w:pPr>
    </w:p>
    <w:p w:rsidR="0083096F" w:rsidRDefault="0083096F" w:rsidP="0083096F">
      <w:pPr>
        <w:tabs>
          <w:tab w:val="left" w:pos="4253"/>
        </w:tabs>
        <w:jc w:val="center"/>
        <w:rPr>
          <w:rFonts w:ascii="Gill Sans MT" w:hAnsi="Gill Sans MT"/>
          <w:noProof/>
          <w:sz w:val="52"/>
          <w:szCs w:val="52"/>
          <w:lang w:eastAsia="en-AU"/>
        </w:rPr>
      </w:pPr>
    </w:p>
    <w:p w:rsidR="0083096F" w:rsidRDefault="0083096F" w:rsidP="0083096F">
      <w:pPr>
        <w:tabs>
          <w:tab w:val="left" w:pos="4253"/>
        </w:tabs>
        <w:jc w:val="center"/>
        <w:rPr>
          <w:rFonts w:ascii="Gill Sans MT" w:hAnsi="Gill Sans MT"/>
          <w:noProof/>
          <w:sz w:val="52"/>
          <w:szCs w:val="52"/>
          <w:lang w:eastAsia="en-AU"/>
        </w:rPr>
      </w:pPr>
    </w:p>
    <w:p w:rsidR="0083096F" w:rsidRDefault="0083096F" w:rsidP="0083096F">
      <w:pPr>
        <w:tabs>
          <w:tab w:val="left" w:pos="4253"/>
        </w:tabs>
        <w:jc w:val="center"/>
        <w:rPr>
          <w:rFonts w:ascii="Gill Sans MT" w:hAnsi="Gill Sans MT"/>
          <w:noProof/>
          <w:sz w:val="52"/>
          <w:szCs w:val="52"/>
          <w:lang w:eastAsia="en-AU"/>
        </w:rPr>
      </w:pPr>
      <w:r>
        <w:rPr>
          <w:rFonts w:ascii="Gill Sans MT" w:hAnsi="Gill Sans MT"/>
          <w:noProof/>
          <w:sz w:val="52"/>
          <w:szCs w:val="52"/>
          <w:lang w:eastAsia="en-AU"/>
        </w:rPr>
        <w:drawing>
          <wp:inline distT="0" distB="0" distL="0" distR="0">
            <wp:extent cx="434340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ird.jpg"/>
                    <pic:cNvPicPr/>
                  </pic:nvPicPr>
                  <pic:blipFill>
                    <a:blip r:embed="rId8">
                      <a:extLst>
                        <a:ext uri="{28A0092B-C50C-407E-A947-70E740481C1C}">
                          <a14:useLocalDpi xmlns:a14="http://schemas.microsoft.com/office/drawing/2010/main" val="0"/>
                        </a:ext>
                      </a:extLst>
                    </a:blip>
                    <a:stretch>
                      <a:fillRect/>
                    </a:stretch>
                  </pic:blipFill>
                  <pic:spPr>
                    <a:xfrm>
                      <a:off x="0" y="0"/>
                      <a:ext cx="4343400" cy="4381500"/>
                    </a:xfrm>
                    <a:prstGeom prst="rect">
                      <a:avLst/>
                    </a:prstGeom>
                  </pic:spPr>
                </pic:pic>
              </a:graphicData>
            </a:graphic>
          </wp:inline>
        </w:drawing>
      </w:r>
    </w:p>
    <w:p w:rsidR="0083096F" w:rsidRDefault="0083096F" w:rsidP="0083096F">
      <w:pPr>
        <w:tabs>
          <w:tab w:val="left" w:pos="4253"/>
        </w:tabs>
        <w:jc w:val="center"/>
        <w:rPr>
          <w:rFonts w:ascii="Gill Sans MT" w:hAnsi="Gill Sans MT"/>
          <w:noProof/>
          <w:sz w:val="52"/>
          <w:szCs w:val="52"/>
          <w:lang w:eastAsia="en-AU"/>
        </w:rPr>
      </w:pPr>
    </w:p>
    <w:p w:rsidR="0083096F" w:rsidRDefault="0083096F" w:rsidP="0083096F">
      <w:pPr>
        <w:tabs>
          <w:tab w:val="left" w:pos="4253"/>
        </w:tabs>
        <w:jc w:val="center"/>
        <w:rPr>
          <w:rFonts w:ascii="Gill Sans MT" w:hAnsi="Gill Sans MT"/>
          <w:noProof/>
          <w:sz w:val="52"/>
          <w:szCs w:val="52"/>
          <w:lang w:eastAsia="en-AU"/>
        </w:rPr>
      </w:pPr>
      <w:bookmarkStart w:id="0" w:name="_GoBack"/>
      <w:bookmarkEnd w:id="0"/>
    </w:p>
    <w:p w:rsidR="0083096F" w:rsidRDefault="0083096F" w:rsidP="0083096F">
      <w:pPr>
        <w:tabs>
          <w:tab w:val="left" w:pos="4253"/>
        </w:tabs>
        <w:jc w:val="center"/>
        <w:rPr>
          <w:rFonts w:ascii="Gill Sans MT" w:hAnsi="Gill Sans MT"/>
          <w:noProof/>
          <w:sz w:val="52"/>
          <w:szCs w:val="52"/>
          <w:lang w:eastAsia="en-AU"/>
        </w:rPr>
      </w:pPr>
    </w:p>
    <w:p w:rsidR="0083096F" w:rsidRDefault="0083096F" w:rsidP="0083096F">
      <w:pPr>
        <w:tabs>
          <w:tab w:val="left" w:pos="4253"/>
        </w:tabs>
        <w:jc w:val="center"/>
        <w:rPr>
          <w:rFonts w:ascii="Gill Sans MT" w:hAnsi="Gill Sans MT"/>
          <w:noProof/>
          <w:sz w:val="52"/>
          <w:szCs w:val="52"/>
          <w:lang w:eastAsia="en-AU"/>
        </w:rPr>
      </w:pPr>
    </w:p>
    <w:p w:rsidR="0083096F" w:rsidRDefault="0083096F" w:rsidP="0083096F">
      <w:pPr>
        <w:tabs>
          <w:tab w:val="left" w:pos="4253"/>
        </w:tabs>
        <w:rPr>
          <w:rFonts w:ascii="Gill Sans MT" w:hAnsi="Gill Sans MT"/>
          <w:noProof/>
          <w:sz w:val="52"/>
          <w:szCs w:val="52"/>
          <w:lang w:eastAsia="en-AU"/>
        </w:rPr>
      </w:pPr>
    </w:p>
    <w:p w:rsidR="0083096F" w:rsidRDefault="0083096F" w:rsidP="0083096F">
      <w:pPr>
        <w:tabs>
          <w:tab w:val="left" w:pos="4253"/>
        </w:tabs>
        <w:jc w:val="center"/>
        <w:rPr>
          <w:rFonts w:ascii="Gill Sans MT" w:hAnsi="Gill Sans MT"/>
          <w:noProof/>
          <w:sz w:val="52"/>
          <w:szCs w:val="52"/>
          <w:lang w:eastAsia="en-AU"/>
        </w:rPr>
      </w:pPr>
    </w:p>
    <w:p w:rsidR="00915C0B" w:rsidRPr="0083096F" w:rsidRDefault="00F21C06" w:rsidP="0083096F">
      <w:pPr>
        <w:tabs>
          <w:tab w:val="left" w:pos="4253"/>
        </w:tabs>
        <w:jc w:val="center"/>
        <w:rPr>
          <w:rFonts w:ascii="Gill Sans MT" w:hAnsi="Gill Sans MT"/>
          <w:b/>
          <w:sz w:val="52"/>
          <w:szCs w:val="52"/>
        </w:rPr>
      </w:pPr>
      <w:r w:rsidRPr="0083096F">
        <w:rPr>
          <w:rFonts w:ascii="Gill Sans MT" w:hAnsi="Gill Sans MT"/>
          <w:noProof/>
          <w:sz w:val="52"/>
          <w:szCs w:val="52"/>
          <w:lang w:eastAsia="en-AU"/>
        </w:rPr>
        <w:t>Gambling</w:t>
      </w:r>
      <w:r w:rsidR="00DD06D0" w:rsidRPr="0083096F">
        <w:rPr>
          <w:rFonts w:ascii="Gill Sans MT" w:hAnsi="Gill Sans MT"/>
          <w:noProof/>
          <w:sz w:val="52"/>
          <w:szCs w:val="52"/>
          <w:lang w:eastAsia="en-AU"/>
        </w:rPr>
        <w:t xml:space="preserve"> Policy 201</w:t>
      </w:r>
      <w:r w:rsidR="00CF5502" w:rsidRPr="0083096F">
        <w:rPr>
          <w:rFonts w:ascii="Gill Sans MT" w:hAnsi="Gill Sans MT"/>
          <w:noProof/>
          <w:sz w:val="52"/>
          <w:szCs w:val="52"/>
          <w:lang w:eastAsia="en-AU"/>
        </w:rPr>
        <w:t>8</w:t>
      </w:r>
    </w:p>
    <w:p w:rsidR="00DD06D0" w:rsidRPr="0083096F" w:rsidRDefault="0083096F" w:rsidP="0083096F">
      <w:pPr>
        <w:spacing w:after="200" w:line="276" w:lineRule="auto"/>
        <w:jc w:val="center"/>
        <w:rPr>
          <w:rFonts w:ascii="Gill Sans MT" w:hAnsi="Gill Sans MT"/>
          <w:b/>
          <w:i/>
          <w:sz w:val="40"/>
          <w:szCs w:val="40"/>
        </w:rPr>
      </w:pPr>
      <w:r>
        <w:rPr>
          <w:rFonts w:ascii="Gill Sans MT" w:hAnsi="Gill Sans MT"/>
          <w:b/>
          <w:sz w:val="40"/>
          <w:szCs w:val="40"/>
        </w:rPr>
        <w:t>BACKGROUND PAPER</w:t>
      </w:r>
      <w:r w:rsidR="00DD06D0" w:rsidRPr="0083096F">
        <w:rPr>
          <w:rFonts w:ascii="Gill Sans MT" w:hAnsi="Gill Sans MT"/>
          <w:b/>
          <w:i/>
          <w:sz w:val="40"/>
          <w:szCs w:val="40"/>
        </w:rPr>
        <w:br w:type="page"/>
      </w:r>
    </w:p>
    <w:p w:rsidR="00DD06D0" w:rsidRPr="0083096F" w:rsidRDefault="00DD06D0" w:rsidP="00DD06D0">
      <w:pPr>
        <w:ind w:left="2410"/>
        <w:rPr>
          <w:rFonts w:ascii="Gill Sans MT" w:hAnsi="Gill Sans MT"/>
          <w:b/>
          <w:sz w:val="40"/>
          <w:szCs w:val="40"/>
        </w:rPr>
      </w:pPr>
    </w:p>
    <w:p w:rsidR="00470C87" w:rsidRPr="0083096F" w:rsidRDefault="00470C87" w:rsidP="00DD06D0">
      <w:pPr>
        <w:ind w:left="2410"/>
        <w:rPr>
          <w:rFonts w:ascii="Gill Sans MT" w:hAnsi="Gill Sans MT"/>
          <w:b/>
          <w:smallCaps/>
          <w:color w:val="215868" w:themeColor="accent5" w:themeShade="80"/>
          <w:sz w:val="36"/>
          <w:szCs w:val="36"/>
        </w:rPr>
      </w:pPr>
      <w:r w:rsidRPr="0083096F">
        <w:rPr>
          <w:rFonts w:ascii="Gill Sans MT" w:hAnsi="Gill Sans MT"/>
          <w:b/>
          <w:smallCaps/>
          <w:color w:val="215868" w:themeColor="accent5" w:themeShade="80"/>
          <w:sz w:val="36"/>
          <w:szCs w:val="36"/>
        </w:rPr>
        <w:t xml:space="preserve">Background Discussion Paper </w:t>
      </w:r>
    </w:p>
    <w:p w:rsidR="00CF3338" w:rsidRPr="0083096F" w:rsidRDefault="00CF3338" w:rsidP="006B563F">
      <w:pPr>
        <w:ind w:left="709" w:hanging="709"/>
        <w:rPr>
          <w:rFonts w:ascii="Gill Sans MT" w:hAnsi="Gill Sans MT"/>
          <w:b/>
          <w:smallCaps/>
          <w:color w:val="215868" w:themeColor="accent5" w:themeShade="80"/>
          <w:sz w:val="36"/>
          <w:szCs w:val="36"/>
        </w:rPr>
      </w:pPr>
    </w:p>
    <w:sdt>
      <w:sdtPr>
        <w:rPr>
          <w:rFonts w:ascii="Gill Sans MT" w:eastAsia="Times New Roman" w:hAnsi="Gill Sans MT" w:cs="Times New Roman"/>
          <w:b w:val="0"/>
          <w:bCs w:val="0"/>
          <w:color w:val="auto"/>
          <w:sz w:val="22"/>
          <w:szCs w:val="22"/>
          <w:lang w:val="en-AU" w:eastAsia="en-US"/>
        </w:rPr>
        <w:id w:val="718394600"/>
        <w:docPartObj>
          <w:docPartGallery w:val="Table of Contents"/>
          <w:docPartUnique/>
        </w:docPartObj>
      </w:sdtPr>
      <w:sdtEndPr>
        <w:rPr>
          <w:noProof/>
        </w:rPr>
      </w:sdtEndPr>
      <w:sdtContent>
        <w:p w:rsidR="00CF3338" w:rsidRPr="0083096F" w:rsidRDefault="00CF3338" w:rsidP="00095D13">
          <w:pPr>
            <w:pStyle w:val="TOCHeading"/>
            <w:jc w:val="center"/>
            <w:rPr>
              <w:rFonts w:ascii="Gill Sans MT" w:hAnsi="Gill Sans MT"/>
            </w:rPr>
          </w:pPr>
          <w:r w:rsidRPr="0083096F">
            <w:rPr>
              <w:rFonts w:ascii="Gill Sans MT" w:hAnsi="Gill Sans MT"/>
            </w:rPr>
            <w:t>Table of Contents</w:t>
          </w:r>
        </w:p>
        <w:p w:rsidR="00777701" w:rsidRPr="0083096F" w:rsidRDefault="00CF3338">
          <w:pPr>
            <w:pStyle w:val="TOC1"/>
            <w:tabs>
              <w:tab w:val="right" w:leader="dot" w:pos="9465"/>
            </w:tabs>
            <w:rPr>
              <w:rFonts w:ascii="Gill Sans MT" w:eastAsiaTheme="minorEastAsia" w:hAnsi="Gill Sans MT" w:cstheme="minorBidi"/>
              <w:noProof/>
              <w:lang w:eastAsia="en-AU"/>
            </w:rPr>
          </w:pPr>
          <w:r w:rsidRPr="0083096F">
            <w:rPr>
              <w:rFonts w:ascii="Gill Sans MT" w:hAnsi="Gill Sans MT"/>
            </w:rPr>
            <w:fldChar w:fldCharType="begin"/>
          </w:r>
          <w:r w:rsidRPr="0083096F">
            <w:rPr>
              <w:rFonts w:ascii="Gill Sans MT" w:hAnsi="Gill Sans MT"/>
            </w:rPr>
            <w:instrText xml:space="preserve"> TOC \o "1-3" \h \z \u </w:instrText>
          </w:r>
          <w:r w:rsidRPr="0083096F">
            <w:rPr>
              <w:rFonts w:ascii="Gill Sans MT" w:hAnsi="Gill Sans MT"/>
            </w:rPr>
            <w:fldChar w:fldCharType="separate"/>
          </w:r>
          <w:hyperlink w:anchor="_Toc504143030" w:history="1">
            <w:r w:rsidR="00777701" w:rsidRPr="0083096F">
              <w:rPr>
                <w:rStyle w:val="Hyperlink"/>
                <w:rFonts w:ascii="Gill Sans MT" w:hAnsi="Gill Sans MT"/>
                <w:noProof/>
              </w:rPr>
              <w:t>INTRODUCTION</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_Toc504143030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2</w:t>
            </w:r>
            <w:r w:rsidR="00777701" w:rsidRPr="0083096F">
              <w:rPr>
                <w:rFonts w:ascii="Gill Sans MT" w:hAnsi="Gill Sans MT"/>
                <w:noProof/>
                <w:webHidden/>
              </w:rPr>
              <w:fldChar w:fldCharType="end"/>
            </w:r>
          </w:hyperlink>
        </w:p>
        <w:p w:rsidR="00777701" w:rsidRPr="0083096F" w:rsidRDefault="008621E7">
          <w:pPr>
            <w:pStyle w:val="TOC1"/>
            <w:tabs>
              <w:tab w:val="left" w:pos="660"/>
              <w:tab w:val="right" w:leader="dot" w:pos="9465"/>
            </w:tabs>
            <w:rPr>
              <w:rFonts w:ascii="Gill Sans MT" w:eastAsiaTheme="minorEastAsia" w:hAnsi="Gill Sans MT" w:cstheme="minorBidi"/>
              <w:noProof/>
              <w:lang w:eastAsia="en-AU"/>
            </w:rPr>
          </w:pPr>
          <w:hyperlink w:anchor="_Toc504143031" w:history="1">
            <w:r w:rsidR="00777701" w:rsidRPr="0083096F">
              <w:rPr>
                <w:rStyle w:val="Hyperlink"/>
                <w:rFonts w:ascii="Gill Sans MT" w:hAnsi="Gill Sans MT"/>
                <w:noProof/>
              </w:rPr>
              <w:t>1.1</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Purpose</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_Toc504143031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2</w:t>
            </w:r>
            <w:r w:rsidR="00777701" w:rsidRPr="0083096F">
              <w:rPr>
                <w:rFonts w:ascii="Gill Sans MT" w:hAnsi="Gill Sans MT"/>
                <w:noProof/>
                <w:webHidden/>
              </w:rPr>
              <w:fldChar w:fldCharType="end"/>
            </w:r>
          </w:hyperlink>
        </w:p>
        <w:p w:rsidR="00777701" w:rsidRPr="0083096F" w:rsidRDefault="008621E7">
          <w:pPr>
            <w:pStyle w:val="TOC1"/>
            <w:tabs>
              <w:tab w:val="left" w:pos="660"/>
              <w:tab w:val="right" w:leader="dot" w:pos="9465"/>
            </w:tabs>
            <w:rPr>
              <w:rFonts w:ascii="Gill Sans MT" w:eastAsiaTheme="minorEastAsia" w:hAnsi="Gill Sans MT" w:cstheme="minorBidi"/>
              <w:noProof/>
              <w:lang w:eastAsia="en-AU"/>
            </w:rPr>
          </w:pPr>
          <w:hyperlink w:anchor="_Toc504143032" w:history="1">
            <w:r w:rsidR="00777701" w:rsidRPr="0083096F">
              <w:rPr>
                <w:rStyle w:val="Hyperlink"/>
                <w:rFonts w:ascii="Gill Sans MT" w:hAnsi="Gill Sans MT"/>
                <w:noProof/>
              </w:rPr>
              <w:t>1.2</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Definitions</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_Toc504143032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2</w:t>
            </w:r>
            <w:r w:rsidR="00777701" w:rsidRPr="0083096F">
              <w:rPr>
                <w:rFonts w:ascii="Gill Sans MT" w:hAnsi="Gill Sans MT"/>
                <w:noProof/>
                <w:webHidden/>
              </w:rPr>
              <w:fldChar w:fldCharType="end"/>
            </w:r>
          </w:hyperlink>
        </w:p>
        <w:p w:rsidR="00777701" w:rsidRPr="0083096F" w:rsidRDefault="008621E7">
          <w:pPr>
            <w:pStyle w:val="TOC1"/>
            <w:tabs>
              <w:tab w:val="left" w:pos="660"/>
              <w:tab w:val="right" w:leader="dot" w:pos="9465"/>
            </w:tabs>
            <w:rPr>
              <w:rFonts w:ascii="Gill Sans MT" w:eastAsiaTheme="minorEastAsia" w:hAnsi="Gill Sans MT" w:cstheme="minorBidi"/>
              <w:noProof/>
              <w:lang w:eastAsia="en-AU"/>
            </w:rPr>
          </w:pPr>
          <w:hyperlink w:anchor="_Toc504143033" w:history="1">
            <w:r w:rsidR="00777701" w:rsidRPr="0083096F">
              <w:rPr>
                <w:rStyle w:val="Hyperlink"/>
                <w:rFonts w:ascii="Gill Sans MT" w:hAnsi="Gill Sans MT"/>
                <w:noProof/>
              </w:rPr>
              <w:t>1.3</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Relationships to Council documents</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_Toc504143033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3</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34" w:history="1">
            <w:r w:rsidR="00777701" w:rsidRPr="0083096F">
              <w:rPr>
                <w:rStyle w:val="Hyperlink"/>
                <w:rFonts w:ascii="Gill Sans MT" w:hAnsi="Gill Sans MT"/>
                <w:noProof/>
              </w:rPr>
              <w:t>POLICY CONTEXT</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_Toc504143034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3</w:t>
            </w:r>
            <w:r w:rsidR="00777701" w:rsidRPr="0083096F">
              <w:rPr>
                <w:rFonts w:ascii="Gill Sans MT" w:hAnsi="Gill Sans MT"/>
                <w:noProof/>
                <w:webHidden/>
              </w:rPr>
              <w:fldChar w:fldCharType="end"/>
            </w:r>
          </w:hyperlink>
        </w:p>
        <w:p w:rsidR="00777701" w:rsidRPr="0083096F" w:rsidRDefault="008621E7">
          <w:pPr>
            <w:pStyle w:val="TOC1"/>
            <w:tabs>
              <w:tab w:val="left" w:pos="660"/>
              <w:tab w:val="right" w:leader="dot" w:pos="9465"/>
            </w:tabs>
            <w:rPr>
              <w:rFonts w:ascii="Gill Sans MT" w:eastAsiaTheme="minorEastAsia" w:hAnsi="Gill Sans MT" w:cstheme="minorBidi"/>
              <w:noProof/>
              <w:lang w:eastAsia="en-AU"/>
            </w:rPr>
          </w:pPr>
          <w:hyperlink w:anchor="_Toc504143035" w:history="1">
            <w:r w:rsidR="00777701" w:rsidRPr="0083096F">
              <w:rPr>
                <w:rStyle w:val="Hyperlink"/>
                <w:rFonts w:ascii="Gill Sans MT" w:hAnsi="Gill Sans MT"/>
                <w:noProof/>
              </w:rPr>
              <w:t>2.1</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Gambling in Australia</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_Toc504143035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3</w:t>
            </w:r>
            <w:r w:rsidR="00777701" w:rsidRPr="0083096F">
              <w:rPr>
                <w:rFonts w:ascii="Gill Sans MT" w:hAnsi="Gill Sans MT"/>
                <w:noProof/>
                <w:webHidden/>
              </w:rPr>
              <w:fldChar w:fldCharType="end"/>
            </w:r>
          </w:hyperlink>
        </w:p>
        <w:p w:rsidR="00777701" w:rsidRPr="0083096F" w:rsidRDefault="008621E7">
          <w:pPr>
            <w:pStyle w:val="TOC1"/>
            <w:tabs>
              <w:tab w:val="left" w:pos="660"/>
              <w:tab w:val="right" w:leader="dot" w:pos="9465"/>
            </w:tabs>
            <w:rPr>
              <w:rFonts w:ascii="Gill Sans MT" w:eastAsiaTheme="minorEastAsia" w:hAnsi="Gill Sans MT" w:cstheme="minorBidi"/>
              <w:noProof/>
              <w:lang w:eastAsia="en-AU"/>
            </w:rPr>
          </w:pPr>
          <w:hyperlink w:anchor="_Toc504143036" w:history="1">
            <w:r w:rsidR="00777701" w:rsidRPr="0083096F">
              <w:rPr>
                <w:rStyle w:val="Hyperlink"/>
                <w:rFonts w:ascii="Gill Sans MT" w:hAnsi="Gill Sans MT"/>
                <w:noProof/>
              </w:rPr>
              <w:t>2.2</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Problem Gambling</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_Toc504143036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4</w:t>
            </w:r>
            <w:r w:rsidR="00777701" w:rsidRPr="0083096F">
              <w:rPr>
                <w:rFonts w:ascii="Gill Sans MT" w:hAnsi="Gill Sans MT"/>
                <w:noProof/>
                <w:webHidden/>
              </w:rPr>
              <w:fldChar w:fldCharType="end"/>
            </w:r>
          </w:hyperlink>
        </w:p>
        <w:p w:rsidR="00777701" w:rsidRPr="0083096F" w:rsidRDefault="008621E7">
          <w:pPr>
            <w:pStyle w:val="TOC1"/>
            <w:tabs>
              <w:tab w:val="left" w:pos="660"/>
              <w:tab w:val="right" w:leader="dot" w:pos="9465"/>
            </w:tabs>
            <w:rPr>
              <w:rFonts w:ascii="Gill Sans MT" w:eastAsiaTheme="minorEastAsia" w:hAnsi="Gill Sans MT" w:cstheme="minorBidi"/>
              <w:noProof/>
              <w:lang w:eastAsia="en-AU"/>
            </w:rPr>
          </w:pPr>
          <w:hyperlink w:anchor="_Toc504143037" w:history="1">
            <w:r w:rsidR="00777701" w:rsidRPr="0083096F">
              <w:rPr>
                <w:rStyle w:val="Hyperlink"/>
                <w:rFonts w:ascii="Gill Sans MT" w:hAnsi="Gill Sans MT"/>
                <w:noProof/>
              </w:rPr>
              <w:t>2.3</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Significance of EGM machines</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_Toc504143037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5</w:t>
            </w:r>
            <w:r w:rsidR="00777701" w:rsidRPr="0083096F">
              <w:rPr>
                <w:rFonts w:ascii="Gill Sans MT" w:hAnsi="Gill Sans MT"/>
                <w:noProof/>
                <w:webHidden/>
              </w:rPr>
              <w:fldChar w:fldCharType="end"/>
            </w:r>
          </w:hyperlink>
        </w:p>
        <w:p w:rsidR="00777701" w:rsidRPr="0083096F" w:rsidRDefault="008621E7">
          <w:pPr>
            <w:pStyle w:val="TOC1"/>
            <w:tabs>
              <w:tab w:val="left" w:pos="660"/>
              <w:tab w:val="right" w:leader="dot" w:pos="9465"/>
            </w:tabs>
            <w:rPr>
              <w:rFonts w:ascii="Gill Sans MT" w:eastAsiaTheme="minorEastAsia" w:hAnsi="Gill Sans MT" w:cstheme="minorBidi"/>
              <w:noProof/>
              <w:lang w:eastAsia="en-AU"/>
            </w:rPr>
          </w:pPr>
          <w:hyperlink w:anchor="_Toc504143038" w:history="1">
            <w:r w:rsidR="00777701" w:rsidRPr="0083096F">
              <w:rPr>
                <w:rStyle w:val="Hyperlink"/>
                <w:rFonts w:ascii="Gill Sans MT" w:hAnsi="Gill Sans MT"/>
                <w:noProof/>
              </w:rPr>
              <w:t>2.4</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EGMs in Victoria</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_Toc504143038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5</w:t>
            </w:r>
            <w:r w:rsidR="00777701" w:rsidRPr="0083096F">
              <w:rPr>
                <w:rFonts w:ascii="Gill Sans MT" w:hAnsi="Gill Sans MT"/>
                <w:noProof/>
                <w:webHidden/>
              </w:rPr>
              <w:fldChar w:fldCharType="end"/>
            </w:r>
          </w:hyperlink>
        </w:p>
        <w:p w:rsidR="00777701" w:rsidRPr="0083096F" w:rsidRDefault="008621E7">
          <w:pPr>
            <w:pStyle w:val="TOC1"/>
            <w:tabs>
              <w:tab w:val="left" w:pos="660"/>
              <w:tab w:val="right" w:leader="dot" w:pos="9465"/>
            </w:tabs>
            <w:rPr>
              <w:rFonts w:ascii="Gill Sans MT" w:eastAsiaTheme="minorEastAsia" w:hAnsi="Gill Sans MT" w:cstheme="minorBidi"/>
              <w:noProof/>
              <w:lang w:eastAsia="en-AU"/>
            </w:rPr>
          </w:pPr>
          <w:hyperlink w:anchor="_Toc504143039" w:history="1">
            <w:r w:rsidR="00777701" w:rsidRPr="0083096F">
              <w:rPr>
                <w:rStyle w:val="Hyperlink"/>
                <w:rFonts w:ascii="Gill Sans MT" w:hAnsi="Gill Sans MT"/>
                <w:noProof/>
              </w:rPr>
              <w:t>2.5</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EGMs in Banyule</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_Toc504143039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6</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40" w:history="1">
            <w:r w:rsidR="00777701" w:rsidRPr="0083096F">
              <w:rPr>
                <w:rStyle w:val="Hyperlink"/>
                <w:rFonts w:ascii="Gill Sans MT" w:hAnsi="Gill Sans MT"/>
                <w:noProof/>
              </w:rPr>
              <w:t>Table One—EGM Venues in Banyule, by Allocation &amp; Reported Losses</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_Toc504143040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7</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43" w:history="1">
            <w:r w:rsidR="00777701" w:rsidRPr="0083096F">
              <w:rPr>
                <w:rStyle w:val="Hyperlink"/>
                <w:rFonts w:ascii="Gill Sans MT" w:hAnsi="Gill Sans MT"/>
                <w:noProof/>
              </w:rPr>
              <w:t>Table Two: EGM Statistics for Banyule and State comparisons</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_Toc504143043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8</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44" w:history="1">
            <w:r w:rsidR="00777701" w:rsidRPr="0083096F">
              <w:rPr>
                <w:rStyle w:val="Hyperlink"/>
                <w:rFonts w:ascii="Gill Sans MT" w:hAnsi="Gill Sans MT"/>
                <w:noProof/>
              </w:rPr>
              <w:t>Table Three: Expenditure by Year</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_Toc504143044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8</w:t>
            </w:r>
            <w:r w:rsidR="00777701" w:rsidRPr="0083096F">
              <w:rPr>
                <w:rFonts w:ascii="Gill Sans MT" w:hAnsi="Gill Sans MT"/>
                <w:noProof/>
                <w:webHidden/>
              </w:rPr>
              <w:fldChar w:fldCharType="end"/>
            </w:r>
          </w:hyperlink>
        </w:p>
        <w:p w:rsidR="00777701" w:rsidRPr="0083096F" w:rsidRDefault="008621E7">
          <w:pPr>
            <w:pStyle w:val="TOC1"/>
            <w:tabs>
              <w:tab w:val="left" w:pos="660"/>
              <w:tab w:val="right" w:leader="dot" w:pos="9465"/>
            </w:tabs>
            <w:rPr>
              <w:rFonts w:ascii="Gill Sans MT" w:eastAsiaTheme="minorEastAsia" w:hAnsi="Gill Sans MT" w:cstheme="minorBidi"/>
              <w:noProof/>
              <w:lang w:eastAsia="en-AU"/>
            </w:rPr>
          </w:pPr>
          <w:hyperlink w:anchor="_Toc504143045" w:history="1">
            <w:r w:rsidR="00777701" w:rsidRPr="0083096F">
              <w:rPr>
                <w:rStyle w:val="Hyperlink"/>
                <w:rFonts w:ascii="Gill Sans MT" w:hAnsi="Gill Sans MT"/>
                <w:noProof/>
              </w:rPr>
              <w:t>2.6</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Distribution of EGM Revenue</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_Toc504143045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9</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46" w:history="1">
            <w:r w:rsidR="00777701" w:rsidRPr="0083096F">
              <w:rPr>
                <w:rStyle w:val="Hyperlink"/>
                <w:rFonts w:ascii="Gill Sans MT" w:hAnsi="Gill Sans MT"/>
                <w:noProof/>
              </w:rPr>
              <w:t>Table Four Part A</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_Toc504143046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9</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47" w:history="1">
            <w:r w:rsidR="00777701" w:rsidRPr="0083096F">
              <w:rPr>
                <w:rStyle w:val="Hyperlink"/>
                <w:rFonts w:ascii="Gill Sans MT" w:hAnsi="Gill Sans MT"/>
                <w:noProof/>
              </w:rPr>
              <w:t>State Government Revenue and Legislated Rate of Return by Venue Type</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_Toc504143047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9</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48" w:history="1">
            <w:r w:rsidR="00777701" w:rsidRPr="0083096F">
              <w:rPr>
                <w:rStyle w:val="Hyperlink"/>
                <w:rFonts w:ascii="Gill Sans MT" w:hAnsi="Gill Sans MT"/>
                <w:noProof/>
              </w:rPr>
              <w:t>Table Four Part B</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_Toc504143048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9</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49" w:history="1">
            <w:r w:rsidR="00777701" w:rsidRPr="0083096F">
              <w:rPr>
                <w:rStyle w:val="Hyperlink"/>
                <w:rFonts w:ascii="Gill Sans MT" w:hAnsi="Gill Sans MT"/>
                <w:noProof/>
              </w:rPr>
              <w:t>State Government Revenue and Legislated Rate of Return by Venue Type</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_Toc504143049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9</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50" w:history="1">
            <w:r w:rsidR="00777701" w:rsidRPr="0083096F">
              <w:rPr>
                <w:rStyle w:val="Hyperlink"/>
                <w:rFonts w:ascii="Gill Sans MT" w:hAnsi="Gill Sans MT"/>
                <w:noProof/>
              </w:rPr>
              <w:t>2.7 The Evolution of Grants and Trusts Funds</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_Toc504143050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10</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51" w:history="1">
            <w:r w:rsidR="00777701" w:rsidRPr="0083096F">
              <w:rPr>
                <w:rStyle w:val="Hyperlink"/>
                <w:rFonts w:ascii="Gill Sans MT" w:hAnsi="Gill Sans MT"/>
                <w:noProof/>
              </w:rPr>
              <w:t>2.8 The Rise of Online and Sports Betting</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_Toc504143051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11</w:t>
            </w:r>
            <w:r w:rsidR="00777701" w:rsidRPr="0083096F">
              <w:rPr>
                <w:rFonts w:ascii="Gill Sans MT" w:hAnsi="Gill Sans MT"/>
                <w:noProof/>
                <w:webHidden/>
              </w:rPr>
              <w:fldChar w:fldCharType="end"/>
            </w:r>
          </w:hyperlink>
        </w:p>
        <w:p w:rsidR="00777701" w:rsidRPr="0083096F" w:rsidRDefault="008621E7">
          <w:pPr>
            <w:pStyle w:val="TOC1"/>
            <w:tabs>
              <w:tab w:val="left" w:pos="660"/>
              <w:tab w:val="right" w:leader="dot" w:pos="9465"/>
            </w:tabs>
            <w:rPr>
              <w:rFonts w:ascii="Gill Sans MT" w:eastAsiaTheme="minorEastAsia" w:hAnsi="Gill Sans MT" w:cstheme="minorBidi"/>
              <w:noProof/>
              <w:lang w:eastAsia="en-AU"/>
            </w:rPr>
          </w:pPr>
          <w:hyperlink w:anchor="_Toc504143052" w:history="1">
            <w:r w:rsidR="00777701" w:rsidRPr="0083096F">
              <w:rPr>
                <w:rStyle w:val="Hyperlink"/>
                <w:rFonts w:ascii="Gill Sans MT" w:hAnsi="Gill Sans MT"/>
                <w:noProof/>
              </w:rPr>
              <w:t>2.9</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Risk Factors and Local Government</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_Toc504143052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12</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53" w:history="1">
            <w:r w:rsidR="00777701" w:rsidRPr="0083096F">
              <w:rPr>
                <w:rStyle w:val="Hyperlink"/>
                <w:rFonts w:ascii="Gill Sans MT" w:hAnsi="Gill Sans MT"/>
                <w:noProof/>
              </w:rPr>
              <w:t>2.10 Responsible Gambling and the role of Venue Codes of Conduct</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_Toc504143053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12</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54" w:history="1">
            <w:r w:rsidR="00777701" w:rsidRPr="0083096F">
              <w:rPr>
                <w:rStyle w:val="Hyperlink"/>
                <w:rFonts w:ascii="Gill Sans MT" w:hAnsi="Gill Sans MT"/>
                <w:noProof/>
              </w:rPr>
              <w:t>2.11 Other Considerations</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_Toc504143054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13</w:t>
            </w:r>
            <w:r w:rsidR="00777701" w:rsidRPr="0083096F">
              <w:rPr>
                <w:rFonts w:ascii="Gill Sans MT" w:hAnsi="Gill Sans MT"/>
                <w:noProof/>
                <w:webHidden/>
              </w:rPr>
              <w:fldChar w:fldCharType="end"/>
            </w:r>
          </w:hyperlink>
        </w:p>
        <w:p w:rsidR="00777701" w:rsidRPr="0083096F" w:rsidRDefault="008621E7">
          <w:pPr>
            <w:pStyle w:val="TOC1"/>
            <w:tabs>
              <w:tab w:val="left" w:pos="880"/>
              <w:tab w:val="right" w:leader="dot" w:pos="9465"/>
            </w:tabs>
            <w:rPr>
              <w:rFonts w:ascii="Gill Sans MT" w:eastAsiaTheme="minorEastAsia" w:hAnsi="Gill Sans MT" w:cstheme="minorBidi"/>
              <w:noProof/>
              <w:lang w:eastAsia="en-AU"/>
            </w:rPr>
          </w:pPr>
          <w:hyperlink w:anchor="_Toc504143055" w:history="1">
            <w:r w:rsidR="00777701" w:rsidRPr="0083096F">
              <w:rPr>
                <w:rStyle w:val="Hyperlink"/>
                <w:rFonts w:ascii="Gill Sans MT" w:hAnsi="Gill Sans MT"/>
                <w:noProof/>
              </w:rPr>
              <w:t>2.12</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Legislative Context</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_Toc504143055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14</w:t>
            </w:r>
            <w:r w:rsidR="00777701" w:rsidRPr="0083096F">
              <w:rPr>
                <w:rFonts w:ascii="Gill Sans MT" w:hAnsi="Gill Sans MT"/>
                <w:noProof/>
                <w:webHidden/>
              </w:rPr>
              <w:fldChar w:fldCharType="end"/>
            </w:r>
          </w:hyperlink>
        </w:p>
        <w:p w:rsidR="00777701" w:rsidRPr="0083096F" w:rsidRDefault="008621E7">
          <w:pPr>
            <w:pStyle w:val="TOC1"/>
            <w:tabs>
              <w:tab w:val="left" w:pos="880"/>
              <w:tab w:val="right" w:leader="dot" w:pos="9465"/>
            </w:tabs>
            <w:rPr>
              <w:rFonts w:ascii="Gill Sans MT" w:eastAsiaTheme="minorEastAsia" w:hAnsi="Gill Sans MT" w:cstheme="minorBidi"/>
              <w:noProof/>
              <w:lang w:eastAsia="en-AU"/>
            </w:rPr>
          </w:pPr>
          <w:hyperlink w:anchor="_Toc504143056" w:history="1">
            <w:r w:rsidR="00777701" w:rsidRPr="0083096F">
              <w:rPr>
                <w:rStyle w:val="Hyperlink"/>
                <w:rFonts w:ascii="Gill Sans MT" w:hAnsi="Gill Sans MT"/>
                <w:noProof/>
              </w:rPr>
              <w:t>2.13</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Policy Context</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_Toc504143056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16</w:t>
            </w:r>
            <w:r w:rsidR="00777701" w:rsidRPr="0083096F">
              <w:rPr>
                <w:rFonts w:ascii="Gill Sans MT" w:hAnsi="Gill Sans MT"/>
                <w:noProof/>
                <w:webHidden/>
              </w:rPr>
              <w:fldChar w:fldCharType="end"/>
            </w:r>
          </w:hyperlink>
        </w:p>
        <w:p w:rsidR="00777701" w:rsidRPr="0083096F" w:rsidRDefault="008621E7">
          <w:pPr>
            <w:pStyle w:val="TOC1"/>
            <w:tabs>
              <w:tab w:val="left" w:pos="880"/>
              <w:tab w:val="right" w:leader="dot" w:pos="9465"/>
            </w:tabs>
            <w:rPr>
              <w:rFonts w:ascii="Gill Sans MT" w:eastAsiaTheme="minorEastAsia" w:hAnsi="Gill Sans MT" w:cstheme="minorBidi"/>
              <w:noProof/>
              <w:lang w:eastAsia="en-AU"/>
            </w:rPr>
          </w:pPr>
          <w:hyperlink w:anchor="_Toc504143057" w:history="1">
            <w:r w:rsidR="00777701" w:rsidRPr="0083096F">
              <w:rPr>
                <w:rStyle w:val="Hyperlink"/>
                <w:rFonts w:ascii="Gill Sans MT" w:hAnsi="Gill Sans MT"/>
                <w:noProof/>
              </w:rPr>
              <w:t>2.14</w:t>
            </w:r>
            <w:r w:rsidR="00777701" w:rsidRPr="0083096F">
              <w:rPr>
                <w:rFonts w:ascii="Gill Sans MT" w:eastAsiaTheme="minorEastAsia" w:hAnsi="Gill Sans MT" w:cstheme="minorBidi"/>
                <w:noProof/>
                <w:lang w:eastAsia="en-AU"/>
              </w:rPr>
              <w:tab/>
            </w:r>
            <w:r w:rsidR="00777701" w:rsidRPr="0083096F">
              <w:rPr>
                <w:rStyle w:val="Hyperlink"/>
                <w:rFonts w:ascii="Gill Sans MT" w:hAnsi="Gill Sans MT"/>
                <w:noProof/>
              </w:rPr>
              <w:t>Policy Development Process</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_Toc504143057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17</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58" w:history="1">
            <w:r w:rsidR="00777701" w:rsidRPr="0083096F">
              <w:rPr>
                <w:rStyle w:val="Hyperlink"/>
                <w:rFonts w:ascii="Gill Sans MT" w:hAnsi="Gill Sans MT"/>
                <w:noProof/>
              </w:rPr>
              <w:t>2.15 Conclusions</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_Toc504143058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17</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59" w:history="1">
            <w:r w:rsidR="00777701" w:rsidRPr="0083096F">
              <w:rPr>
                <w:rStyle w:val="Hyperlink"/>
                <w:rFonts w:ascii="Gill Sans MT" w:hAnsi="Gill Sans MT"/>
                <w:noProof/>
              </w:rPr>
              <w:t>Reference List</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_Toc504143059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19</w:t>
            </w:r>
            <w:r w:rsidR="00777701" w:rsidRPr="0083096F">
              <w:rPr>
                <w:rFonts w:ascii="Gill Sans MT" w:hAnsi="Gill Sans MT"/>
                <w:noProof/>
                <w:webHidden/>
              </w:rPr>
              <w:fldChar w:fldCharType="end"/>
            </w:r>
          </w:hyperlink>
        </w:p>
        <w:p w:rsidR="00777701" w:rsidRPr="0083096F" w:rsidRDefault="008621E7">
          <w:pPr>
            <w:pStyle w:val="TOC1"/>
            <w:tabs>
              <w:tab w:val="right" w:leader="dot" w:pos="9465"/>
            </w:tabs>
            <w:rPr>
              <w:rFonts w:ascii="Gill Sans MT" w:eastAsiaTheme="minorEastAsia" w:hAnsi="Gill Sans MT" w:cstheme="minorBidi"/>
              <w:noProof/>
              <w:lang w:eastAsia="en-AU"/>
            </w:rPr>
          </w:pPr>
          <w:hyperlink w:anchor="_Toc504143060" w:history="1">
            <w:r w:rsidR="00777701" w:rsidRPr="0083096F">
              <w:rPr>
                <w:rStyle w:val="Hyperlink"/>
                <w:rFonts w:ascii="Gill Sans MT" w:hAnsi="Gill Sans MT"/>
                <w:noProof/>
              </w:rPr>
              <w:t>Appendix 1</w:t>
            </w:r>
            <w:r w:rsidR="00777701" w:rsidRPr="0083096F">
              <w:rPr>
                <w:rFonts w:ascii="Gill Sans MT" w:hAnsi="Gill Sans MT"/>
                <w:noProof/>
                <w:webHidden/>
              </w:rPr>
              <w:tab/>
            </w:r>
            <w:r w:rsidR="00777701" w:rsidRPr="0083096F">
              <w:rPr>
                <w:rFonts w:ascii="Gill Sans MT" w:hAnsi="Gill Sans MT"/>
                <w:noProof/>
                <w:webHidden/>
              </w:rPr>
              <w:fldChar w:fldCharType="begin"/>
            </w:r>
            <w:r w:rsidR="00777701" w:rsidRPr="0083096F">
              <w:rPr>
                <w:rFonts w:ascii="Gill Sans MT" w:hAnsi="Gill Sans MT"/>
                <w:noProof/>
                <w:webHidden/>
              </w:rPr>
              <w:instrText xml:space="preserve"> PAGEREF _Toc504143060 \h </w:instrText>
            </w:r>
            <w:r w:rsidR="00777701" w:rsidRPr="0083096F">
              <w:rPr>
                <w:rFonts w:ascii="Gill Sans MT" w:hAnsi="Gill Sans MT"/>
                <w:noProof/>
                <w:webHidden/>
              </w:rPr>
            </w:r>
            <w:r w:rsidR="00777701" w:rsidRPr="0083096F">
              <w:rPr>
                <w:rFonts w:ascii="Gill Sans MT" w:hAnsi="Gill Sans MT"/>
                <w:noProof/>
                <w:webHidden/>
              </w:rPr>
              <w:fldChar w:fldCharType="separate"/>
            </w:r>
            <w:r w:rsidR="001104CA" w:rsidRPr="0083096F">
              <w:rPr>
                <w:rFonts w:ascii="Gill Sans MT" w:hAnsi="Gill Sans MT"/>
                <w:noProof/>
                <w:webHidden/>
              </w:rPr>
              <w:t>20</w:t>
            </w:r>
            <w:r w:rsidR="00777701" w:rsidRPr="0083096F">
              <w:rPr>
                <w:rFonts w:ascii="Gill Sans MT" w:hAnsi="Gill Sans MT"/>
                <w:noProof/>
                <w:webHidden/>
              </w:rPr>
              <w:fldChar w:fldCharType="end"/>
            </w:r>
          </w:hyperlink>
        </w:p>
        <w:p w:rsidR="00CF3338" w:rsidRPr="0083096F" w:rsidRDefault="00CF3338">
          <w:pPr>
            <w:rPr>
              <w:rFonts w:ascii="Gill Sans MT" w:hAnsi="Gill Sans MT"/>
            </w:rPr>
          </w:pPr>
          <w:r w:rsidRPr="0083096F">
            <w:rPr>
              <w:rFonts w:ascii="Gill Sans MT" w:hAnsi="Gill Sans MT"/>
              <w:b/>
              <w:bCs/>
              <w:noProof/>
            </w:rPr>
            <w:fldChar w:fldCharType="end"/>
          </w:r>
        </w:p>
      </w:sdtContent>
    </w:sdt>
    <w:p w:rsidR="00470C87" w:rsidRPr="0083096F" w:rsidRDefault="00CF3338" w:rsidP="00777701">
      <w:pPr>
        <w:pStyle w:val="Heading1"/>
        <w:rPr>
          <w:rFonts w:ascii="Gill Sans MT" w:hAnsi="Gill Sans MT"/>
          <w:color w:val="984806" w:themeColor="accent6" w:themeShade="80"/>
        </w:rPr>
      </w:pPr>
      <w:r w:rsidRPr="0083096F">
        <w:rPr>
          <w:rFonts w:ascii="Gill Sans MT" w:hAnsi="Gill Sans MT"/>
          <w:smallCaps/>
          <w:color w:val="948A54" w:themeColor="background2" w:themeShade="80"/>
          <w:sz w:val="36"/>
          <w:szCs w:val="36"/>
        </w:rPr>
        <w:br w:type="page"/>
      </w:r>
      <w:bookmarkStart w:id="1" w:name="_Toc504143030"/>
      <w:r w:rsidR="00470C87" w:rsidRPr="0083096F">
        <w:rPr>
          <w:rFonts w:ascii="Gill Sans MT" w:hAnsi="Gill Sans MT"/>
          <w:color w:val="984806" w:themeColor="accent6" w:themeShade="80"/>
        </w:rPr>
        <w:lastRenderedPageBreak/>
        <w:t>INTRODUCTION</w:t>
      </w:r>
      <w:bookmarkEnd w:id="1"/>
    </w:p>
    <w:p w:rsidR="00470C87" w:rsidRPr="0083096F" w:rsidRDefault="00470C87" w:rsidP="00470C87">
      <w:pPr>
        <w:rPr>
          <w:rFonts w:ascii="Gill Sans MT" w:hAnsi="Gill Sans MT" w:cs="Arial"/>
        </w:rPr>
      </w:pPr>
    </w:p>
    <w:p w:rsidR="00470C87" w:rsidRPr="0083096F" w:rsidRDefault="00470C87" w:rsidP="00302185">
      <w:pPr>
        <w:pStyle w:val="Heading1"/>
        <w:spacing w:before="120"/>
        <w:rPr>
          <w:rFonts w:ascii="Gill Sans MT" w:hAnsi="Gill Sans MT"/>
        </w:rPr>
      </w:pPr>
      <w:bookmarkStart w:id="2" w:name="_Toc504143031"/>
      <w:r w:rsidRPr="0083096F">
        <w:rPr>
          <w:rFonts w:ascii="Gill Sans MT" w:hAnsi="Gill Sans MT"/>
        </w:rPr>
        <w:t>1.1</w:t>
      </w:r>
      <w:r w:rsidR="00983225" w:rsidRPr="0083096F">
        <w:rPr>
          <w:rFonts w:ascii="Gill Sans MT" w:hAnsi="Gill Sans MT"/>
        </w:rPr>
        <w:tab/>
        <w:t>Purpose</w:t>
      </w:r>
      <w:bookmarkEnd w:id="2"/>
    </w:p>
    <w:p w:rsidR="00470C87" w:rsidRPr="0083096F" w:rsidRDefault="00470C87" w:rsidP="00470C87">
      <w:pPr>
        <w:rPr>
          <w:rFonts w:ascii="Gill Sans MT" w:hAnsi="Gill Sans MT" w:cs="Arial"/>
        </w:rPr>
      </w:pPr>
    </w:p>
    <w:p w:rsidR="006708FF" w:rsidRPr="0083096F" w:rsidRDefault="006708FF" w:rsidP="006708FF">
      <w:pPr>
        <w:rPr>
          <w:rFonts w:ascii="Gill Sans MT" w:hAnsi="Gill Sans MT" w:cs="Arial"/>
          <w:sz w:val="24"/>
          <w:szCs w:val="24"/>
        </w:rPr>
      </w:pPr>
      <w:r w:rsidRPr="0083096F">
        <w:rPr>
          <w:rFonts w:ascii="Gill Sans MT" w:hAnsi="Gill Sans MT" w:cs="Arial"/>
          <w:sz w:val="24"/>
          <w:szCs w:val="24"/>
        </w:rPr>
        <w:t>The purpose of this discussion paper is to provide a background from which to explore Banyule City Council’s strategic policy positions in relation to Electronic Gaming within the municipality and surrounding areas, where the Council has a direct decision-making responsibility; is acting as a referral authority; or has an advisory role. It is also to enable Council to consider the extent to which it wishes to be engaged in other gambling issues, such as on-line gambling and sports betting.</w:t>
      </w:r>
    </w:p>
    <w:p w:rsidR="00470C87" w:rsidRPr="0083096F" w:rsidRDefault="00470C87" w:rsidP="00470C87">
      <w:pPr>
        <w:rPr>
          <w:rFonts w:ascii="Gill Sans MT" w:hAnsi="Gill Sans MT" w:cs="Arial"/>
          <w:sz w:val="24"/>
          <w:szCs w:val="24"/>
        </w:rPr>
      </w:pPr>
    </w:p>
    <w:p w:rsidR="00470C87" w:rsidRPr="0083096F" w:rsidRDefault="00470C87" w:rsidP="00470C87">
      <w:pPr>
        <w:rPr>
          <w:rFonts w:ascii="Gill Sans MT" w:hAnsi="Gill Sans MT" w:cs="Arial"/>
          <w:sz w:val="24"/>
          <w:szCs w:val="24"/>
        </w:rPr>
      </w:pPr>
      <w:r w:rsidRPr="0083096F">
        <w:rPr>
          <w:rFonts w:ascii="Gill Sans MT" w:hAnsi="Gill Sans MT" w:cs="Arial"/>
          <w:sz w:val="24"/>
          <w:szCs w:val="24"/>
        </w:rPr>
        <w:t>More specifically, this report provides background information in respect to the following areas for consideration:</w:t>
      </w:r>
    </w:p>
    <w:p w:rsidR="00470C87" w:rsidRPr="0083096F" w:rsidRDefault="00470C87" w:rsidP="00470C87">
      <w:pPr>
        <w:pStyle w:val="ListParagraph"/>
        <w:numPr>
          <w:ilvl w:val="0"/>
          <w:numId w:val="16"/>
        </w:numPr>
        <w:rPr>
          <w:rFonts w:ascii="Gill Sans MT" w:hAnsi="Gill Sans MT" w:cs="Arial"/>
          <w:sz w:val="24"/>
          <w:szCs w:val="24"/>
        </w:rPr>
      </w:pPr>
      <w:r w:rsidRPr="0083096F">
        <w:rPr>
          <w:rFonts w:ascii="Gill Sans MT" w:hAnsi="Gill Sans MT" w:cs="Arial"/>
          <w:sz w:val="24"/>
          <w:szCs w:val="24"/>
        </w:rPr>
        <w:t>The context, role and function of Electronic Gaming Machines (EGMs) within Banyule and surrounding municipalities;</w:t>
      </w:r>
    </w:p>
    <w:p w:rsidR="00470C87" w:rsidRPr="0083096F" w:rsidRDefault="00470C87" w:rsidP="00470C87">
      <w:pPr>
        <w:pStyle w:val="ListParagraph"/>
        <w:numPr>
          <w:ilvl w:val="0"/>
          <w:numId w:val="16"/>
        </w:numPr>
        <w:rPr>
          <w:rFonts w:ascii="Gill Sans MT" w:hAnsi="Gill Sans MT" w:cs="Arial"/>
          <w:sz w:val="24"/>
          <w:szCs w:val="24"/>
        </w:rPr>
      </w:pPr>
      <w:r w:rsidRPr="0083096F">
        <w:rPr>
          <w:rFonts w:ascii="Gill Sans MT" w:hAnsi="Gill Sans MT" w:cs="Arial"/>
          <w:sz w:val="24"/>
          <w:szCs w:val="24"/>
        </w:rPr>
        <w:t>Explores appropriate Council directed responses and supported activities aimed at understanding and addressing the potential harms created by EGMs; and</w:t>
      </w:r>
    </w:p>
    <w:p w:rsidR="00470C87" w:rsidRPr="0083096F" w:rsidRDefault="00470C87" w:rsidP="00470C87">
      <w:pPr>
        <w:pStyle w:val="ListParagraph"/>
        <w:numPr>
          <w:ilvl w:val="0"/>
          <w:numId w:val="16"/>
        </w:numPr>
        <w:rPr>
          <w:rFonts w:ascii="Gill Sans MT" w:hAnsi="Gill Sans MT" w:cs="Arial"/>
          <w:sz w:val="24"/>
          <w:szCs w:val="24"/>
        </w:rPr>
      </w:pPr>
      <w:r w:rsidRPr="0083096F">
        <w:rPr>
          <w:rFonts w:ascii="Gill Sans MT" w:hAnsi="Gill Sans MT" w:cs="Arial"/>
          <w:sz w:val="24"/>
          <w:szCs w:val="24"/>
        </w:rPr>
        <w:t xml:space="preserve">Explores the potential of increased awareness, community education and minimisation activities aimed at minimising potential community harms arising from gambling. </w:t>
      </w:r>
    </w:p>
    <w:p w:rsidR="00470C87" w:rsidRPr="0083096F" w:rsidRDefault="00470C87" w:rsidP="00470C87">
      <w:pPr>
        <w:rPr>
          <w:rFonts w:ascii="Gill Sans MT" w:hAnsi="Gill Sans MT" w:cs="Arial"/>
          <w:sz w:val="24"/>
          <w:szCs w:val="24"/>
        </w:rPr>
      </w:pPr>
    </w:p>
    <w:p w:rsidR="005B2E93" w:rsidRPr="0083096F" w:rsidRDefault="005B2E93" w:rsidP="00470C87">
      <w:pPr>
        <w:rPr>
          <w:rFonts w:ascii="Gill Sans MT" w:hAnsi="Gill Sans MT" w:cs="Arial"/>
          <w:sz w:val="24"/>
          <w:szCs w:val="24"/>
        </w:rPr>
      </w:pPr>
      <w:r w:rsidRPr="0083096F">
        <w:rPr>
          <w:rFonts w:ascii="Gill Sans MT" w:hAnsi="Gill Sans MT" w:cs="Arial"/>
          <w:sz w:val="24"/>
          <w:szCs w:val="24"/>
        </w:rPr>
        <w:t>Th</w:t>
      </w:r>
      <w:r w:rsidR="00503285" w:rsidRPr="0083096F">
        <w:rPr>
          <w:rFonts w:ascii="Gill Sans MT" w:hAnsi="Gill Sans MT" w:cs="Arial"/>
          <w:sz w:val="24"/>
          <w:szCs w:val="24"/>
        </w:rPr>
        <w:t>is</w:t>
      </w:r>
      <w:r w:rsidRPr="0083096F">
        <w:rPr>
          <w:rFonts w:ascii="Gill Sans MT" w:hAnsi="Gill Sans MT" w:cs="Arial"/>
          <w:sz w:val="24"/>
          <w:szCs w:val="24"/>
        </w:rPr>
        <w:t xml:space="preserve"> discussion </w:t>
      </w:r>
      <w:r w:rsidR="00503285" w:rsidRPr="0083096F">
        <w:rPr>
          <w:rFonts w:ascii="Gill Sans MT" w:hAnsi="Gill Sans MT" w:cs="Arial"/>
          <w:sz w:val="24"/>
          <w:szCs w:val="24"/>
        </w:rPr>
        <w:t xml:space="preserve">paper </w:t>
      </w:r>
      <w:r w:rsidRPr="0083096F">
        <w:rPr>
          <w:rFonts w:ascii="Gill Sans MT" w:hAnsi="Gill Sans MT" w:cs="Arial"/>
          <w:sz w:val="24"/>
          <w:szCs w:val="24"/>
        </w:rPr>
        <w:t>follows the same format of the</w:t>
      </w:r>
      <w:r w:rsidR="00CF5502" w:rsidRPr="0083096F">
        <w:rPr>
          <w:rFonts w:ascii="Gill Sans MT" w:hAnsi="Gill Sans MT" w:cs="Arial"/>
          <w:sz w:val="24"/>
          <w:szCs w:val="24"/>
        </w:rPr>
        <w:t xml:space="preserve"> </w:t>
      </w:r>
      <w:r w:rsidRPr="0083096F">
        <w:rPr>
          <w:rFonts w:ascii="Gill Sans MT" w:hAnsi="Gill Sans MT" w:cs="Arial"/>
          <w:sz w:val="24"/>
          <w:szCs w:val="24"/>
        </w:rPr>
        <w:t>1996</w:t>
      </w:r>
      <w:r w:rsidR="00CF5502" w:rsidRPr="0083096F">
        <w:rPr>
          <w:rFonts w:ascii="Gill Sans MT" w:hAnsi="Gill Sans MT" w:cs="Arial"/>
          <w:sz w:val="24"/>
          <w:szCs w:val="24"/>
        </w:rPr>
        <w:t>,</w:t>
      </w:r>
      <w:r w:rsidRPr="0083096F">
        <w:rPr>
          <w:rFonts w:ascii="Gill Sans MT" w:hAnsi="Gill Sans MT" w:cs="Arial"/>
          <w:sz w:val="24"/>
          <w:szCs w:val="24"/>
        </w:rPr>
        <w:t xml:space="preserve"> 2008 </w:t>
      </w:r>
      <w:r w:rsidR="00CF5502" w:rsidRPr="0083096F">
        <w:rPr>
          <w:rFonts w:ascii="Gill Sans MT" w:hAnsi="Gill Sans MT" w:cs="Arial"/>
          <w:sz w:val="24"/>
          <w:szCs w:val="24"/>
        </w:rPr>
        <w:t xml:space="preserve">and 2014 </w:t>
      </w:r>
      <w:r w:rsidRPr="0083096F">
        <w:rPr>
          <w:rFonts w:ascii="Gill Sans MT" w:hAnsi="Gill Sans MT" w:cs="Arial"/>
          <w:sz w:val="24"/>
          <w:szCs w:val="24"/>
        </w:rPr>
        <w:t>EGM Policies</w:t>
      </w:r>
      <w:r w:rsidR="00EC4019" w:rsidRPr="0083096F">
        <w:rPr>
          <w:rFonts w:ascii="Gill Sans MT" w:hAnsi="Gill Sans MT" w:cs="Arial"/>
          <w:sz w:val="24"/>
          <w:szCs w:val="24"/>
        </w:rPr>
        <w:t xml:space="preserve">, </w:t>
      </w:r>
      <w:r w:rsidR="00CF5502" w:rsidRPr="0083096F">
        <w:rPr>
          <w:rFonts w:ascii="Gill Sans MT" w:hAnsi="Gill Sans MT" w:cs="Arial"/>
          <w:sz w:val="24"/>
          <w:szCs w:val="24"/>
        </w:rPr>
        <w:t xml:space="preserve">and </w:t>
      </w:r>
      <w:r w:rsidR="00EC4019" w:rsidRPr="0083096F">
        <w:rPr>
          <w:rFonts w:ascii="Gill Sans MT" w:hAnsi="Gill Sans MT" w:cs="Arial"/>
          <w:sz w:val="24"/>
          <w:szCs w:val="24"/>
        </w:rPr>
        <w:t xml:space="preserve">has been prepared as part of the Policy Development Framework and forms an important part of the community consultation information pack.    </w:t>
      </w:r>
    </w:p>
    <w:p w:rsidR="005B2E93" w:rsidRPr="0083096F" w:rsidRDefault="005B2E93" w:rsidP="00470C87">
      <w:pPr>
        <w:rPr>
          <w:rFonts w:ascii="Gill Sans MT" w:hAnsi="Gill Sans MT" w:cs="Arial"/>
          <w:sz w:val="24"/>
          <w:szCs w:val="24"/>
        </w:rPr>
      </w:pPr>
      <w:r w:rsidRPr="0083096F">
        <w:rPr>
          <w:rFonts w:ascii="Gill Sans MT" w:hAnsi="Gill Sans MT" w:cs="Arial"/>
          <w:sz w:val="24"/>
          <w:szCs w:val="24"/>
        </w:rPr>
        <w:t xml:space="preserve"> </w:t>
      </w:r>
    </w:p>
    <w:p w:rsidR="00470C87" w:rsidRPr="0083096F" w:rsidRDefault="00470C87" w:rsidP="00302185">
      <w:pPr>
        <w:pStyle w:val="Heading1"/>
        <w:spacing w:before="120"/>
        <w:rPr>
          <w:rFonts w:ascii="Gill Sans MT" w:hAnsi="Gill Sans MT"/>
        </w:rPr>
      </w:pPr>
      <w:bookmarkStart w:id="3" w:name="_Toc504143032"/>
      <w:r w:rsidRPr="0083096F">
        <w:rPr>
          <w:rFonts w:ascii="Gill Sans MT" w:hAnsi="Gill Sans MT"/>
        </w:rPr>
        <w:t>1.2</w:t>
      </w:r>
      <w:r w:rsidR="00983225" w:rsidRPr="0083096F">
        <w:rPr>
          <w:rFonts w:ascii="Gill Sans MT" w:hAnsi="Gill Sans MT"/>
        </w:rPr>
        <w:tab/>
        <w:t>Definitions</w:t>
      </w:r>
      <w:bookmarkEnd w:id="3"/>
    </w:p>
    <w:p w:rsidR="00470C87" w:rsidRPr="0083096F" w:rsidRDefault="00470C87" w:rsidP="00470C87">
      <w:pPr>
        <w:rPr>
          <w:rFonts w:ascii="Gill Sans MT" w:hAnsi="Gill Sans MT" w:cs="Arial"/>
        </w:rPr>
      </w:pPr>
    </w:p>
    <w:p w:rsidR="00470C87" w:rsidRPr="0083096F" w:rsidRDefault="00470C87" w:rsidP="00470C87">
      <w:pPr>
        <w:ind w:left="720"/>
        <w:rPr>
          <w:rFonts w:ascii="Gill Sans MT" w:hAnsi="Gill Sans MT" w:cs="Arial"/>
          <w:sz w:val="24"/>
          <w:szCs w:val="24"/>
        </w:rPr>
      </w:pPr>
      <w:r w:rsidRPr="0083096F">
        <w:rPr>
          <w:rFonts w:ascii="Gill Sans MT" w:hAnsi="Gill Sans MT" w:cs="Arial"/>
          <w:b/>
          <w:i/>
          <w:sz w:val="24"/>
          <w:szCs w:val="24"/>
        </w:rPr>
        <w:t>Electronic Gaming Machine (EGM)</w:t>
      </w:r>
      <w:r w:rsidRPr="0083096F">
        <w:rPr>
          <w:rFonts w:ascii="Gill Sans MT" w:hAnsi="Gill Sans MT" w:cs="Arial"/>
          <w:i/>
          <w:sz w:val="24"/>
          <w:szCs w:val="24"/>
        </w:rPr>
        <w:t>.</w:t>
      </w:r>
      <w:r w:rsidRPr="0083096F">
        <w:rPr>
          <w:rFonts w:ascii="Gill Sans MT" w:hAnsi="Gill Sans MT" w:cs="Arial"/>
          <w:sz w:val="24"/>
          <w:szCs w:val="24"/>
        </w:rPr>
        <w:t xml:space="preserve">  Commonly known as a “poker machine” or “pokie”, an EGM is a computerised, continuous staking, rapid play gaming machine that maps the selections of a random number generator to a visual output on a video screen.  It has a predetermined rate of return and a reward system that is based </w:t>
      </w:r>
      <w:r w:rsidR="00503285" w:rsidRPr="0083096F">
        <w:rPr>
          <w:rFonts w:ascii="Gill Sans MT" w:hAnsi="Gill Sans MT" w:cs="Arial"/>
          <w:sz w:val="24"/>
          <w:szCs w:val="24"/>
        </w:rPr>
        <w:t xml:space="preserve">on </w:t>
      </w:r>
      <w:r w:rsidRPr="0083096F">
        <w:rPr>
          <w:rFonts w:ascii="Gill Sans MT" w:hAnsi="Gill Sans MT" w:cs="Arial"/>
          <w:sz w:val="24"/>
          <w:szCs w:val="24"/>
        </w:rPr>
        <w:t>computer</w:t>
      </w:r>
      <w:r w:rsidR="00503285" w:rsidRPr="0083096F">
        <w:rPr>
          <w:rFonts w:ascii="Gill Sans MT" w:hAnsi="Gill Sans MT" w:cs="Arial"/>
          <w:sz w:val="24"/>
          <w:szCs w:val="24"/>
        </w:rPr>
        <w:t xml:space="preserve">ised </w:t>
      </w:r>
      <w:r w:rsidRPr="0083096F">
        <w:rPr>
          <w:rFonts w:ascii="Gill Sans MT" w:hAnsi="Gill Sans MT" w:cs="Arial"/>
          <w:sz w:val="24"/>
          <w:szCs w:val="24"/>
        </w:rPr>
        <w:t xml:space="preserve">logarithmic programming. </w:t>
      </w:r>
    </w:p>
    <w:p w:rsidR="00470C87" w:rsidRPr="0083096F" w:rsidRDefault="00470C87" w:rsidP="00470C87">
      <w:pPr>
        <w:ind w:left="720"/>
        <w:rPr>
          <w:rFonts w:ascii="Gill Sans MT" w:hAnsi="Gill Sans MT" w:cs="Arial"/>
          <w:sz w:val="24"/>
          <w:szCs w:val="24"/>
        </w:rPr>
      </w:pPr>
    </w:p>
    <w:p w:rsidR="00470C87" w:rsidRPr="0083096F" w:rsidRDefault="00470C87" w:rsidP="00470C87">
      <w:pPr>
        <w:ind w:left="720"/>
        <w:rPr>
          <w:rFonts w:ascii="Gill Sans MT" w:hAnsi="Gill Sans MT" w:cs="Arial"/>
          <w:sz w:val="24"/>
          <w:szCs w:val="24"/>
        </w:rPr>
      </w:pPr>
      <w:r w:rsidRPr="0083096F">
        <w:rPr>
          <w:rFonts w:ascii="Gill Sans MT" w:hAnsi="Gill Sans MT" w:cs="Arial"/>
          <w:b/>
          <w:i/>
          <w:sz w:val="24"/>
          <w:szCs w:val="24"/>
        </w:rPr>
        <w:t>Gambling.</w:t>
      </w:r>
      <w:r w:rsidRPr="0083096F">
        <w:rPr>
          <w:rFonts w:ascii="Gill Sans MT" w:hAnsi="Gill Sans MT" w:cs="Arial"/>
          <w:sz w:val="24"/>
          <w:szCs w:val="24"/>
        </w:rPr>
        <w:t xml:space="preserve">  Gambling is wagering of money or something of value on an uncertain event that is dependent on chance, or partly on chance and partly on skill.</w:t>
      </w:r>
    </w:p>
    <w:p w:rsidR="00470C87" w:rsidRPr="0083096F" w:rsidRDefault="00470C87" w:rsidP="00470C87">
      <w:pPr>
        <w:ind w:left="720"/>
        <w:rPr>
          <w:rFonts w:ascii="Gill Sans MT" w:hAnsi="Gill Sans MT" w:cs="Arial"/>
          <w:sz w:val="24"/>
          <w:szCs w:val="24"/>
        </w:rPr>
      </w:pPr>
    </w:p>
    <w:p w:rsidR="00470C87" w:rsidRPr="0083096F" w:rsidRDefault="00470C87" w:rsidP="00470C87">
      <w:pPr>
        <w:ind w:left="720"/>
        <w:rPr>
          <w:rFonts w:ascii="Gill Sans MT" w:hAnsi="Gill Sans MT" w:cs="Arial"/>
          <w:sz w:val="24"/>
          <w:szCs w:val="24"/>
        </w:rPr>
      </w:pPr>
      <w:r w:rsidRPr="0083096F">
        <w:rPr>
          <w:rFonts w:ascii="Gill Sans MT" w:hAnsi="Gill Sans MT" w:cs="Arial"/>
          <w:b/>
          <w:i/>
          <w:sz w:val="24"/>
          <w:szCs w:val="24"/>
        </w:rPr>
        <w:t>Problem gambling</w:t>
      </w:r>
      <w:r w:rsidRPr="0083096F">
        <w:rPr>
          <w:rFonts w:ascii="Gill Sans MT" w:hAnsi="Gill Sans MT" w:cs="Arial"/>
          <w:i/>
          <w:sz w:val="24"/>
          <w:szCs w:val="24"/>
        </w:rPr>
        <w:t>.</w:t>
      </w:r>
      <w:r w:rsidRPr="0083096F">
        <w:rPr>
          <w:rFonts w:ascii="Gill Sans MT" w:hAnsi="Gill Sans MT" w:cs="Arial"/>
          <w:sz w:val="24"/>
          <w:szCs w:val="24"/>
        </w:rPr>
        <w:t xml:space="preserve">  Problem gambling refers to a situation when a person’s gambling activity gives rise to harm to the individual player and/or to his or her family and may extend to the community.</w:t>
      </w:r>
    </w:p>
    <w:p w:rsidR="000C42EA" w:rsidRPr="0083096F" w:rsidRDefault="000C42EA">
      <w:pPr>
        <w:spacing w:after="200" w:line="276" w:lineRule="auto"/>
        <w:rPr>
          <w:rFonts w:ascii="Gill Sans MT" w:hAnsi="Gill Sans MT" w:cs="Arial"/>
          <w:b/>
          <w:sz w:val="32"/>
          <w:szCs w:val="32"/>
        </w:rPr>
      </w:pPr>
      <w:r w:rsidRPr="0083096F">
        <w:rPr>
          <w:rFonts w:ascii="Gill Sans MT" w:hAnsi="Gill Sans MT" w:cs="Arial"/>
          <w:b/>
          <w:sz w:val="32"/>
          <w:szCs w:val="32"/>
        </w:rPr>
        <w:br w:type="page"/>
      </w:r>
    </w:p>
    <w:p w:rsidR="00470C87" w:rsidRPr="0083096F" w:rsidRDefault="004F3947" w:rsidP="00302185">
      <w:pPr>
        <w:pStyle w:val="Heading1"/>
        <w:spacing w:before="120"/>
        <w:rPr>
          <w:rFonts w:ascii="Gill Sans MT" w:hAnsi="Gill Sans MT"/>
        </w:rPr>
      </w:pPr>
      <w:bookmarkStart w:id="4" w:name="_Toc504143033"/>
      <w:r w:rsidRPr="0083096F">
        <w:rPr>
          <w:rFonts w:ascii="Gill Sans MT" w:hAnsi="Gill Sans MT"/>
        </w:rPr>
        <w:lastRenderedPageBreak/>
        <w:t>1.3</w:t>
      </w:r>
      <w:r w:rsidR="00470C87" w:rsidRPr="0083096F">
        <w:rPr>
          <w:rFonts w:ascii="Gill Sans MT" w:hAnsi="Gill Sans MT"/>
        </w:rPr>
        <w:tab/>
        <w:t>Relationships</w:t>
      </w:r>
      <w:r w:rsidR="000F306E" w:rsidRPr="0083096F">
        <w:rPr>
          <w:rFonts w:ascii="Gill Sans MT" w:hAnsi="Gill Sans MT"/>
        </w:rPr>
        <w:t xml:space="preserve"> to Council documents</w:t>
      </w:r>
      <w:bookmarkEnd w:id="4"/>
      <w:r w:rsidR="000F306E" w:rsidRPr="0083096F">
        <w:rPr>
          <w:rFonts w:ascii="Gill Sans MT" w:hAnsi="Gill Sans MT"/>
        </w:rPr>
        <w:t xml:space="preserve"> </w:t>
      </w:r>
    </w:p>
    <w:p w:rsidR="00470C87" w:rsidRPr="0083096F" w:rsidRDefault="00470C87" w:rsidP="00470C87">
      <w:pPr>
        <w:rPr>
          <w:rFonts w:ascii="Gill Sans MT" w:hAnsi="Gill Sans MT" w:cs="Arial"/>
          <w:sz w:val="24"/>
          <w:szCs w:val="24"/>
        </w:rPr>
      </w:pPr>
    </w:p>
    <w:p w:rsidR="00A93324" w:rsidRPr="0083096F" w:rsidRDefault="00C82D23" w:rsidP="00470C87">
      <w:pPr>
        <w:rPr>
          <w:rFonts w:ascii="Gill Sans MT" w:hAnsi="Gill Sans MT" w:cs="Arial"/>
          <w:sz w:val="24"/>
          <w:szCs w:val="24"/>
        </w:rPr>
      </w:pPr>
      <w:r w:rsidRPr="0083096F">
        <w:rPr>
          <w:rFonts w:ascii="Gill Sans MT" w:hAnsi="Gill Sans MT" w:cs="Arial"/>
          <w:sz w:val="24"/>
          <w:szCs w:val="24"/>
        </w:rPr>
        <w:t>The</w:t>
      </w:r>
      <w:r w:rsidR="000C42EA" w:rsidRPr="0083096F">
        <w:rPr>
          <w:rFonts w:ascii="Gill Sans MT" w:hAnsi="Gill Sans MT" w:cs="Arial"/>
          <w:sz w:val="24"/>
          <w:szCs w:val="24"/>
        </w:rPr>
        <w:t xml:space="preserve"> Banyule </w:t>
      </w:r>
      <w:r w:rsidRPr="0083096F">
        <w:rPr>
          <w:rFonts w:ascii="Gill Sans MT" w:hAnsi="Gill Sans MT" w:cs="Arial"/>
          <w:sz w:val="24"/>
          <w:szCs w:val="24"/>
        </w:rPr>
        <w:t>Electronic Gaming Machine (EGM)</w:t>
      </w:r>
      <w:r w:rsidR="000C42EA" w:rsidRPr="0083096F">
        <w:rPr>
          <w:rFonts w:ascii="Gill Sans MT" w:hAnsi="Gill Sans MT" w:cs="Arial"/>
          <w:sz w:val="24"/>
          <w:szCs w:val="24"/>
        </w:rPr>
        <w:t xml:space="preserve"> </w:t>
      </w:r>
      <w:r w:rsidR="00470C87" w:rsidRPr="0083096F">
        <w:rPr>
          <w:rFonts w:ascii="Gill Sans MT" w:hAnsi="Gill Sans MT" w:cs="Arial"/>
          <w:sz w:val="24"/>
          <w:szCs w:val="24"/>
        </w:rPr>
        <w:t xml:space="preserve">Policy Statement </w:t>
      </w:r>
      <w:r w:rsidR="000C42EA" w:rsidRPr="0083096F">
        <w:rPr>
          <w:rFonts w:ascii="Gill Sans MT" w:hAnsi="Gill Sans MT" w:cs="Arial"/>
          <w:sz w:val="24"/>
          <w:szCs w:val="24"/>
        </w:rPr>
        <w:t>201</w:t>
      </w:r>
      <w:r w:rsidR="00DD22D8" w:rsidRPr="0083096F">
        <w:rPr>
          <w:rFonts w:ascii="Gill Sans MT" w:hAnsi="Gill Sans MT" w:cs="Arial"/>
          <w:sz w:val="24"/>
          <w:szCs w:val="24"/>
        </w:rPr>
        <w:t>8</w:t>
      </w:r>
      <w:r w:rsidR="000C42EA" w:rsidRPr="0083096F">
        <w:rPr>
          <w:rFonts w:ascii="Gill Sans MT" w:hAnsi="Gill Sans MT" w:cs="Arial"/>
          <w:sz w:val="24"/>
          <w:szCs w:val="24"/>
        </w:rPr>
        <w:t xml:space="preserve"> </w:t>
      </w:r>
      <w:r w:rsidR="00470C87" w:rsidRPr="0083096F">
        <w:rPr>
          <w:rFonts w:ascii="Gill Sans MT" w:hAnsi="Gill Sans MT" w:cs="Arial"/>
          <w:sz w:val="24"/>
          <w:szCs w:val="24"/>
        </w:rPr>
        <w:t>supports the achievement of Council People key direction 1—</w:t>
      </w:r>
      <w:r w:rsidR="00DD22D8" w:rsidRPr="0083096F">
        <w:rPr>
          <w:rFonts w:ascii="Gill Sans MT" w:eastAsiaTheme="minorHAnsi" w:hAnsi="Gill Sans MT" w:cstheme="minorBidi"/>
          <w:sz w:val="24"/>
        </w:rPr>
        <w:t xml:space="preserve"> Strong, Healthy and Inclusive Communities – Support and strengthen the health and wellbeing of the Banyule</w:t>
      </w:r>
      <w:r w:rsidR="00145B10" w:rsidRPr="0083096F">
        <w:rPr>
          <w:rFonts w:ascii="Gill Sans MT" w:eastAsiaTheme="minorHAnsi" w:hAnsi="Gill Sans MT" w:cstheme="minorBidi"/>
          <w:sz w:val="24"/>
        </w:rPr>
        <w:t xml:space="preserve"> community</w:t>
      </w:r>
      <w:r w:rsidR="00DD22D8" w:rsidRPr="0083096F">
        <w:rPr>
          <w:rFonts w:ascii="Gill Sans MT" w:eastAsiaTheme="minorHAnsi" w:hAnsi="Gill Sans MT" w:cstheme="minorBidi"/>
          <w:sz w:val="24"/>
        </w:rPr>
        <w:t>, along with key direction 4 - Engagement and Advocacy – Engage meaningfully and advocate for the broader interest of the community.</w:t>
      </w:r>
    </w:p>
    <w:p w:rsidR="00DD22D8" w:rsidRPr="0083096F" w:rsidRDefault="00DD22D8" w:rsidP="00DD22D8">
      <w:pPr>
        <w:pStyle w:val="NoSpacing"/>
        <w:rPr>
          <w:rFonts w:ascii="Gill Sans MT" w:eastAsiaTheme="minorHAnsi" w:hAnsi="Gill Sans MT"/>
        </w:rPr>
      </w:pPr>
    </w:p>
    <w:p w:rsidR="00DD22D8" w:rsidRPr="0083096F" w:rsidRDefault="00DD22D8" w:rsidP="00DD22D8">
      <w:pPr>
        <w:rPr>
          <w:rFonts w:ascii="Gill Sans MT" w:hAnsi="Gill Sans MT" w:cs="Arial"/>
          <w:sz w:val="24"/>
          <w:szCs w:val="24"/>
        </w:rPr>
      </w:pPr>
      <w:r w:rsidRPr="0083096F">
        <w:rPr>
          <w:rFonts w:ascii="Gill Sans MT" w:hAnsi="Gill Sans MT" w:cs="Arial"/>
          <w:sz w:val="24"/>
          <w:szCs w:val="24"/>
        </w:rPr>
        <w:t xml:space="preserve">The Banyule </w:t>
      </w:r>
      <w:r w:rsidR="006708FF" w:rsidRPr="0083096F">
        <w:rPr>
          <w:rFonts w:ascii="Gill Sans MT" w:hAnsi="Gill Sans MT" w:cs="Arial"/>
          <w:sz w:val="24"/>
          <w:szCs w:val="24"/>
        </w:rPr>
        <w:t>Electronic Gam</w:t>
      </w:r>
      <w:r w:rsidR="00E90CC1" w:rsidRPr="0083096F">
        <w:rPr>
          <w:rFonts w:ascii="Gill Sans MT" w:hAnsi="Gill Sans MT" w:cs="Arial"/>
          <w:sz w:val="24"/>
          <w:szCs w:val="24"/>
        </w:rPr>
        <w:t>ing</w:t>
      </w:r>
      <w:r w:rsidRPr="0083096F">
        <w:rPr>
          <w:rFonts w:ascii="Gill Sans MT" w:hAnsi="Gill Sans MT" w:cs="Arial"/>
          <w:sz w:val="24"/>
          <w:szCs w:val="24"/>
        </w:rPr>
        <w:t xml:space="preserve"> Policy was adopted by Banyule City Council in June 201</w:t>
      </w:r>
      <w:r w:rsidR="006708FF" w:rsidRPr="0083096F">
        <w:rPr>
          <w:rFonts w:ascii="Gill Sans MT" w:hAnsi="Gill Sans MT" w:cs="Arial"/>
          <w:sz w:val="24"/>
          <w:szCs w:val="24"/>
        </w:rPr>
        <w:t>4</w:t>
      </w:r>
      <w:r w:rsidRPr="0083096F">
        <w:rPr>
          <w:rFonts w:ascii="Gill Sans MT" w:hAnsi="Gill Sans MT" w:cs="Arial"/>
          <w:sz w:val="24"/>
          <w:szCs w:val="24"/>
        </w:rPr>
        <w:t>.</w:t>
      </w:r>
      <w:r w:rsidR="006708FF" w:rsidRPr="0083096F">
        <w:rPr>
          <w:rFonts w:ascii="Gill Sans MT" w:hAnsi="Gill Sans MT" w:cs="Arial"/>
          <w:sz w:val="24"/>
          <w:szCs w:val="24"/>
        </w:rPr>
        <w:t xml:space="preserve"> </w:t>
      </w:r>
      <w:r w:rsidRPr="0083096F">
        <w:rPr>
          <w:rFonts w:ascii="Gill Sans MT" w:hAnsi="Gill Sans MT" w:cs="Arial"/>
          <w:sz w:val="24"/>
          <w:szCs w:val="24"/>
        </w:rPr>
        <w:t xml:space="preserve"> It </w:t>
      </w:r>
      <w:r w:rsidR="006708FF" w:rsidRPr="0083096F">
        <w:rPr>
          <w:rFonts w:ascii="Gill Sans MT" w:hAnsi="Gill Sans MT" w:cs="Arial"/>
          <w:sz w:val="24"/>
          <w:szCs w:val="24"/>
        </w:rPr>
        <w:t>is due to be reviewed by May 2018</w:t>
      </w:r>
      <w:r w:rsidRPr="0083096F">
        <w:rPr>
          <w:rFonts w:ascii="Gill Sans MT" w:hAnsi="Gill Sans MT" w:cs="Arial"/>
          <w:sz w:val="24"/>
          <w:szCs w:val="24"/>
        </w:rPr>
        <w:t>, and this discussion paper commences that review.</w:t>
      </w:r>
    </w:p>
    <w:p w:rsidR="00470C87" w:rsidRPr="0083096F" w:rsidRDefault="003C70FD" w:rsidP="00DD06D0">
      <w:pPr>
        <w:pStyle w:val="Heading1"/>
        <w:rPr>
          <w:rFonts w:ascii="Gill Sans MT" w:hAnsi="Gill Sans MT"/>
          <w:color w:val="632423" w:themeColor="accent2" w:themeShade="80"/>
        </w:rPr>
      </w:pPr>
      <w:bookmarkStart w:id="5" w:name="_Toc504143034"/>
      <w:r w:rsidRPr="0083096F">
        <w:rPr>
          <w:rFonts w:ascii="Gill Sans MT" w:hAnsi="Gill Sans MT"/>
          <w:color w:val="632423" w:themeColor="accent2" w:themeShade="80"/>
        </w:rPr>
        <w:t>POLICY CONTEXT</w:t>
      </w:r>
      <w:bookmarkEnd w:id="5"/>
    </w:p>
    <w:p w:rsidR="00470C87" w:rsidRPr="0083096F" w:rsidRDefault="00470C87" w:rsidP="00470C87">
      <w:pPr>
        <w:rPr>
          <w:rFonts w:ascii="Gill Sans MT" w:hAnsi="Gill Sans MT" w:cs="Arial"/>
        </w:rPr>
      </w:pPr>
    </w:p>
    <w:p w:rsidR="00470C87" w:rsidRPr="0083096F" w:rsidRDefault="00470C87" w:rsidP="00302185">
      <w:pPr>
        <w:pStyle w:val="Heading1"/>
        <w:spacing w:before="120"/>
        <w:rPr>
          <w:rFonts w:ascii="Gill Sans MT" w:hAnsi="Gill Sans MT"/>
        </w:rPr>
      </w:pPr>
      <w:bookmarkStart w:id="6" w:name="_Toc504143035"/>
      <w:r w:rsidRPr="0083096F">
        <w:rPr>
          <w:rFonts w:ascii="Gill Sans MT" w:hAnsi="Gill Sans MT"/>
        </w:rPr>
        <w:t>2.1</w:t>
      </w:r>
      <w:r w:rsidRPr="0083096F">
        <w:rPr>
          <w:rFonts w:ascii="Gill Sans MT" w:hAnsi="Gill Sans MT"/>
        </w:rPr>
        <w:tab/>
        <w:t>Gambling in Australia</w:t>
      </w:r>
      <w:bookmarkEnd w:id="6"/>
    </w:p>
    <w:p w:rsidR="00470C87" w:rsidRPr="0083096F" w:rsidRDefault="00470C87" w:rsidP="00470C87">
      <w:pPr>
        <w:rPr>
          <w:rFonts w:ascii="Gill Sans MT" w:hAnsi="Gill Sans MT" w:cs="Arial"/>
        </w:rPr>
      </w:pPr>
    </w:p>
    <w:p w:rsidR="006708FF" w:rsidRPr="0083096F" w:rsidRDefault="006708FF" w:rsidP="006708FF">
      <w:pPr>
        <w:rPr>
          <w:rFonts w:ascii="Gill Sans MT" w:hAnsi="Gill Sans MT" w:cs="Arial"/>
          <w:sz w:val="24"/>
          <w:szCs w:val="24"/>
        </w:rPr>
      </w:pPr>
      <w:r w:rsidRPr="0083096F">
        <w:rPr>
          <w:rFonts w:ascii="Gill Sans MT" w:hAnsi="Gill Sans MT" w:cs="Arial"/>
          <w:sz w:val="24"/>
          <w:szCs w:val="24"/>
        </w:rPr>
        <w:t xml:space="preserve">Australians spend more on gambling per head than any other country in the world - $23.64 billion in total gambling losses in 2015-2016. This equates to $1100 per annum per person. The next highest losses are in Singapore ($800 per person) and then Ireland ($600 per person). Australia has 20% of the world’s poker machines as compared with 0.3% of the world’s population. Poker machines are the source of over two thirds of total gambling losses. Poker machines in hotels and clubs are the source of almost half of these total losses. </w:t>
      </w:r>
    </w:p>
    <w:p w:rsidR="006708FF" w:rsidRPr="0083096F" w:rsidRDefault="006708FF" w:rsidP="006708FF">
      <w:pPr>
        <w:rPr>
          <w:rFonts w:ascii="Gill Sans MT" w:hAnsi="Gill Sans MT" w:cs="Arial"/>
          <w:sz w:val="24"/>
          <w:szCs w:val="24"/>
        </w:rPr>
      </w:pPr>
    </w:p>
    <w:p w:rsidR="006708FF" w:rsidRPr="0083096F" w:rsidRDefault="006708FF" w:rsidP="006708FF">
      <w:pPr>
        <w:rPr>
          <w:rFonts w:ascii="Gill Sans MT" w:hAnsi="Gill Sans MT" w:cs="Arial"/>
          <w:sz w:val="24"/>
          <w:szCs w:val="24"/>
        </w:rPr>
      </w:pPr>
      <w:r w:rsidRPr="0083096F">
        <w:rPr>
          <w:rFonts w:ascii="Gill Sans MT" w:hAnsi="Gill Sans MT" w:cs="Arial"/>
          <w:sz w:val="24"/>
          <w:szCs w:val="24"/>
        </w:rPr>
        <w:t xml:space="preserve">The various governments across Australia receive $5.5 billion in taxes each year from the gambling industry. </w:t>
      </w:r>
    </w:p>
    <w:p w:rsidR="006708FF" w:rsidRPr="0083096F" w:rsidRDefault="006708FF" w:rsidP="006708FF">
      <w:pPr>
        <w:rPr>
          <w:rFonts w:ascii="Gill Sans MT" w:eastAsiaTheme="minorHAnsi" w:hAnsi="Gill Sans MT" w:cs="Arial"/>
          <w:sz w:val="24"/>
          <w:szCs w:val="24"/>
        </w:rPr>
      </w:pPr>
    </w:p>
    <w:p w:rsidR="006708FF" w:rsidRPr="0083096F" w:rsidRDefault="006708FF" w:rsidP="006708FF">
      <w:pPr>
        <w:rPr>
          <w:rFonts w:ascii="Gill Sans MT" w:eastAsiaTheme="minorHAnsi" w:hAnsi="Gill Sans MT" w:cs="Arial"/>
          <w:sz w:val="24"/>
          <w:szCs w:val="24"/>
        </w:rPr>
      </w:pPr>
      <w:r w:rsidRPr="0083096F">
        <w:rPr>
          <w:rFonts w:ascii="Gill Sans MT" w:hAnsi="Gill Sans MT" w:cs="Arial"/>
          <w:sz w:val="24"/>
          <w:szCs w:val="24"/>
        </w:rPr>
        <w:t xml:space="preserve">Poker machine losses in Victoria are now running at $2.6 billion per annum.  </w:t>
      </w:r>
      <w:r w:rsidRPr="0083096F">
        <w:rPr>
          <w:rFonts w:ascii="Gill Sans MT" w:eastAsiaTheme="minorHAnsi" w:hAnsi="Gill Sans MT" w:cs="Arial"/>
          <w:sz w:val="24"/>
          <w:szCs w:val="24"/>
        </w:rPr>
        <w:t>Council recognises that gambling is a lawful activity that can provide entertainment, recreation and socialising opportunities. The majority of people who gamble do so without experiencing adverse effects, however, as with tobacco, pokies are addictive, legal, and a serious health issue.</w:t>
      </w:r>
    </w:p>
    <w:p w:rsidR="006708FF" w:rsidRPr="0083096F" w:rsidRDefault="006708FF" w:rsidP="006708FF">
      <w:pPr>
        <w:rPr>
          <w:rFonts w:ascii="Gill Sans MT" w:eastAsiaTheme="minorHAnsi" w:hAnsi="Gill Sans MT" w:cs="Arial"/>
          <w:sz w:val="24"/>
          <w:szCs w:val="24"/>
        </w:rPr>
      </w:pPr>
    </w:p>
    <w:p w:rsidR="006708FF" w:rsidRPr="0083096F" w:rsidRDefault="006708FF" w:rsidP="006708FF">
      <w:pPr>
        <w:rPr>
          <w:rFonts w:ascii="Gill Sans MT" w:hAnsi="Gill Sans MT" w:cs="Arial"/>
          <w:sz w:val="24"/>
          <w:szCs w:val="24"/>
        </w:rPr>
      </w:pPr>
      <w:r w:rsidRPr="0083096F">
        <w:rPr>
          <w:rFonts w:ascii="Gill Sans MT" w:hAnsi="Gill Sans MT" w:cs="Arial"/>
          <w:sz w:val="24"/>
          <w:szCs w:val="24"/>
        </w:rPr>
        <w:t>There are an estimated over 500,000 Australians living with the financial stress, relationship breakdown and mental illness that comes with poker machine addiction. Gambling causes twice as much harm to the health of Australians as diabetes, bipolar disorder and cannabis dependence combined. In Victoria the biggest losses come from some of the State’s most disadvantaged areas.</w:t>
      </w:r>
    </w:p>
    <w:p w:rsidR="006708FF" w:rsidRPr="0083096F" w:rsidRDefault="006708FF" w:rsidP="006708FF">
      <w:pPr>
        <w:rPr>
          <w:rFonts w:ascii="Gill Sans MT" w:hAnsi="Gill Sans MT" w:cs="Arial"/>
          <w:sz w:val="24"/>
          <w:szCs w:val="24"/>
        </w:rPr>
      </w:pPr>
    </w:p>
    <w:p w:rsidR="006708FF" w:rsidRPr="0083096F" w:rsidRDefault="006708FF" w:rsidP="006708FF">
      <w:p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 xml:space="preserve">Since the proliferation of electronic gaming machines (EGMs) in the early 1990s, Council has been aware of the community's concern about the detrimental impact that EGMs can have on some members of the community. This awareness has been reflected in the Council’s Electronic Gaming Machine Policies and Plans (1996, 2008 and 2014 respectively). </w:t>
      </w:r>
    </w:p>
    <w:p w:rsidR="006708FF" w:rsidRPr="0083096F" w:rsidRDefault="006708FF" w:rsidP="006708FF">
      <w:pPr>
        <w:autoSpaceDE w:val="0"/>
        <w:autoSpaceDN w:val="0"/>
        <w:adjustRightInd w:val="0"/>
        <w:rPr>
          <w:rFonts w:ascii="Gill Sans MT" w:eastAsiaTheme="minorHAnsi" w:hAnsi="Gill Sans MT" w:cs="Arial"/>
          <w:sz w:val="24"/>
          <w:szCs w:val="24"/>
        </w:rPr>
      </w:pPr>
    </w:p>
    <w:p w:rsidR="006708FF" w:rsidRPr="0083096F" w:rsidRDefault="006708FF" w:rsidP="006708FF">
      <w:p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 xml:space="preserve">EGM gambling is the primary focus of this policy discussion, but it will also consider other contemporary gambling issues. Council acknowledges that EGM gambling poses significant risks compared to other types of gambling and is differentiated from other enjoyable recreational activities. Council is responsible for the approval of planning permits for EGMs, and is also able to make submissions to the Victorian Commission for Gambling and Liquor Regulation (VCGLR) on gaming licence applications. </w:t>
      </w:r>
    </w:p>
    <w:p w:rsidR="00470C87" w:rsidRPr="0083096F" w:rsidRDefault="000C42EA" w:rsidP="008E1E8B">
      <w:pPr>
        <w:pStyle w:val="Heading1"/>
        <w:spacing w:before="120"/>
        <w:rPr>
          <w:rFonts w:ascii="Gill Sans MT" w:hAnsi="Gill Sans MT"/>
        </w:rPr>
      </w:pPr>
      <w:r w:rsidRPr="0083096F">
        <w:rPr>
          <w:rFonts w:ascii="Gill Sans MT" w:hAnsi="Gill Sans MT" w:cs="Arial"/>
          <w:sz w:val="32"/>
          <w:szCs w:val="32"/>
        </w:rPr>
        <w:br w:type="page"/>
      </w:r>
      <w:bookmarkStart w:id="7" w:name="_Toc504143036"/>
      <w:r w:rsidR="00470C87" w:rsidRPr="0083096F">
        <w:rPr>
          <w:rFonts w:ascii="Gill Sans MT" w:hAnsi="Gill Sans MT"/>
        </w:rPr>
        <w:lastRenderedPageBreak/>
        <w:t>2.2</w:t>
      </w:r>
      <w:r w:rsidR="00470C87" w:rsidRPr="0083096F">
        <w:rPr>
          <w:rFonts w:ascii="Gill Sans MT" w:hAnsi="Gill Sans MT"/>
        </w:rPr>
        <w:tab/>
        <w:t xml:space="preserve">Problem </w:t>
      </w:r>
      <w:r w:rsidR="00983225" w:rsidRPr="0083096F">
        <w:rPr>
          <w:rFonts w:ascii="Gill Sans MT" w:hAnsi="Gill Sans MT"/>
        </w:rPr>
        <w:t>G</w:t>
      </w:r>
      <w:r w:rsidR="00470C87" w:rsidRPr="0083096F">
        <w:rPr>
          <w:rFonts w:ascii="Gill Sans MT" w:hAnsi="Gill Sans MT"/>
        </w:rPr>
        <w:t>ambling</w:t>
      </w:r>
      <w:bookmarkEnd w:id="7"/>
    </w:p>
    <w:p w:rsidR="00470C87" w:rsidRPr="0083096F" w:rsidRDefault="00470C87" w:rsidP="00470C87">
      <w:pPr>
        <w:rPr>
          <w:rFonts w:ascii="Gill Sans MT" w:hAnsi="Gill Sans MT" w:cs="Arial"/>
        </w:rPr>
      </w:pPr>
    </w:p>
    <w:p w:rsidR="006708FF" w:rsidRPr="0083096F" w:rsidRDefault="006708FF" w:rsidP="006708FF">
      <w:pPr>
        <w:spacing w:after="120"/>
        <w:rPr>
          <w:rFonts w:ascii="Gill Sans MT" w:hAnsi="Gill Sans MT" w:cs="Arial"/>
          <w:sz w:val="24"/>
          <w:szCs w:val="24"/>
        </w:rPr>
      </w:pPr>
      <w:r w:rsidRPr="0083096F">
        <w:rPr>
          <w:rFonts w:ascii="Gill Sans MT" w:hAnsi="Gill Sans MT" w:cs="Arial"/>
          <w:sz w:val="24"/>
          <w:szCs w:val="24"/>
        </w:rPr>
        <w:t>A small proportion of gamblers become problem gamblers. Nevertheless, the social and economic cost of problem gambling is of ongoing concern to governments and the community, and has been the impetus for the range of policy initiatives by the Victorian State Government to combat the effects of problem gambling.</w:t>
      </w:r>
    </w:p>
    <w:p w:rsidR="006708FF" w:rsidRPr="0083096F" w:rsidRDefault="006708FF" w:rsidP="006708FF">
      <w:pPr>
        <w:rPr>
          <w:rFonts w:ascii="Gill Sans MT" w:hAnsi="Gill Sans MT" w:cs="Arial"/>
        </w:rPr>
      </w:pPr>
    </w:p>
    <w:p w:rsidR="006708FF" w:rsidRPr="0083096F" w:rsidRDefault="006708FF" w:rsidP="006708FF">
      <w:pPr>
        <w:spacing w:after="120"/>
        <w:rPr>
          <w:rFonts w:ascii="Gill Sans MT" w:hAnsi="Gill Sans MT" w:cs="Arial"/>
          <w:sz w:val="24"/>
          <w:szCs w:val="24"/>
        </w:rPr>
      </w:pPr>
      <w:r w:rsidRPr="0083096F">
        <w:rPr>
          <w:rFonts w:ascii="Gill Sans MT" w:hAnsi="Gill Sans MT" w:cs="Arial"/>
          <w:sz w:val="24"/>
          <w:szCs w:val="24"/>
        </w:rPr>
        <w:t>The 2010 Productivity Commission report into Gambling made the following key points in relation to problem gambling</w:t>
      </w:r>
      <w:r w:rsidRPr="0083096F">
        <w:rPr>
          <w:rFonts w:ascii="Gill Sans MT" w:hAnsi="Gill Sans MT" w:cs="Arial"/>
          <w:sz w:val="24"/>
          <w:szCs w:val="24"/>
          <w:vertAlign w:val="superscript"/>
        </w:rPr>
        <w:footnoteReference w:id="1"/>
      </w:r>
      <w:r w:rsidRPr="0083096F">
        <w:rPr>
          <w:rFonts w:ascii="Gill Sans MT" w:hAnsi="Gill Sans MT" w:cs="Arial"/>
          <w:sz w:val="24"/>
          <w:szCs w:val="24"/>
        </w:rPr>
        <w:t>:</w:t>
      </w:r>
    </w:p>
    <w:p w:rsidR="006708FF" w:rsidRPr="0083096F" w:rsidRDefault="006708FF" w:rsidP="006708FF">
      <w:pPr>
        <w:numPr>
          <w:ilvl w:val="0"/>
          <w:numId w:val="9"/>
        </w:numPr>
        <w:autoSpaceDE w:val="0"/>
        <w:autoSpaceDN w:val="0"/>
        <w:adjustRightInd w:val="0"/>
        <w:spacing w:after="120"/>
        <w:rPr>
          <w:rFonts w:ascii="Gill Sans MT" w:eastAsiaTheme="minorHAnsi" w:hAnsi="Gill Sans MT" w:cs="Arial"/>
          <w:sz w:val="24"/>
          <w:szCs w:val="24"/>
        </w:rPr>
      </w:pPr>
      <w:r w:rsidRPr="0083096F">
        <w:rPr>
          <w:rFonts w:ascii="Gill Sans MT" w:eastAsiaTheme="minorHAnsi" w:hAnsi="Gill Sans MT" w:cs="Arial"/>
          <w:sz w:val="24"/>
          <w:szCs w:val="24"/>
        </w:rPr>
        <w:t>Based on available survey data, between 80,000 and 160,000 Australian adults experience significant problems from their gambling (0.5 to 1.0 % of adults), with a further 230,000 to 350,000 experiencing moderate risks that may make them vulnerable to problem gambling (1.4 to 2.1 % of adults).</w:t>
      </w:r>
    </w:p>
    <w:p w:rsidR="006708FF" w:rsidRPr="0083096F" w:rsidRDefault="006708FF" w:rsidP="006708FF">
      <w:pPr>
        <w:numPr>
          <w:ilvl w:val="0"/>
          <w:numId w:val="9"/>
        </w:numPr>
        <w:autoSpaceDE w:val="0"/>
        <w:autoSpaceDN w:val="0"/>
        <w:adjustRightInd w:val="0"/>
        <w:spacing w:after="120"/>
        <w:rPr>
          <w:rFonts w:ascii="Gill Sans MT" w:eastAsiaTheme="minorHAnsi" w:hAnsi="Gill Sans MT" w:cs="Arial"/>
          <w:sz w:val="24"/>
          <w:szCs w:val="24"/>
        </w:rPr>
      </w:pPr>
      <w:r w:rsidRPr="0083096F">
        <w:rPr>
          <w:rFonts w:ascii="Gill Sans MT" w:eastAsiaTheme="minorHAnsi" w:hAnsi="Gill Sans MT" w:cs="Arial"/>
          <w:sz w:val="24"/>
          <w:szCs w:val="24"/>
        </w:rPr>
        <w:t xml:space="preserve">Although there are substantial difficulties in calculating gambling expenditure, it is estimated that problem gamblers account for 22 to 60% of total gaming machine spending (average of 41). The likely range for moderate risk and problem gamblers together is 42 to 75%.  </w:t>
      </w:r>
    </w:p>
    <w:p w:rsidR="006708FF" w:rsidRPr="0083096F" w:rsidRDefault="006708FF" w:rsidP="006708FF">
      <w:pPr>
        <w:numPr>
          <w:ilvl w:val="0"/>
          <w:numId w:val="9"/>
        </w:numPr>
        <w:autoSpaceDE w:val="0"/>
        <w:autoSpaceDN w:val="0"/>
        <w:adjustRightInd w:val="0"/>
        <w:spacing w:after="120"/>
        <w:rPr>
          <w:rFonts w:ascii="Gill Sans MT" w:eastAsiaTheme="minorHAnsi" w:hAnsi="Gill Sans MT" w:cs="Arial"/>
          <w:sz w:val="24"/>
          <w:szCs w:val="24"/>
        </w:rPr>
      </w:pPr>
      <w:r w:rsidRPr="0083096F">
        <w:rPr>
          <w:rFonts w:ascii="Gill Sans MT" w:eastAsiaTheme="minorHAnsi" w:hAnsi="Gill Sans MT" w:cs="Arial"/>
          <w:sz w:val="24"/>
          <w:szCs w:val="24"/>
        </w:rPr>
        <w:t>Most policy interest centres on people playing regularly on gaming machines. While the results vary by surveys, it is estimated that around:</w:t>
      </w:r>
    </w:p>
    <w:p w:rsidR="006708FF" w:rsidRPr="0083096F" w:rsidRDefault="006708FF" w:rsidP="006708FF">
      <w:pPr>
        <w:numPr>
          <w:ilvl w:val="1"/>
          <w:numId w:val="9"/>
        </w:numPr>
        <w:autoSpaceDE w:val="0"/>
        <w:autoSpaceDN w:val="0"/>
        <w:adjustRightInd w:val="0"/>
        <w:spacing w:after="120"/>
        <w:ind w:hanging="357"/>
        <w:rPr>
          <w:rFonts w:ascii="Gill Sans MT" w:eastAsiaTheme="minorHAnsi" w:hAnsi="Gill Sans MT" w:cs="Arial"/>
          <w:sz w:val="24"/>
          <w:szCs w:val="24"/>
        </w:rPr>
      </w:pPr>
      <w:r w:rsidRPr="0083096F">
        <w:rPr>
          <w:rFonts w:ascii="Gill Sans MT" w:eastAsiaTheme="minorHAnsi" w:hAnsi="Gill Sans MT" w:cs="Arial"/>
          <w:sz w:val="24"/>
          <w:szCs w:val="24"/>
        </w:rPr>
        <w:t>600,000 Australian adults (just under 4%) play the pokies weekly or more.</w:t>
      </w:r>
    </w:p>
    <w:p w:rsidR="006708FF" w:rsidRPr="0083096F" w:rsidRDefault="006708FF" w:rsidP="006708FF">
      <w:pPr>
        <w:numPr>
          <w:ilvl w:val="1"/>
          <w:numId w:val="9"/>
        </w:numPr>
        <w:autoSpaceDE w:val="0"/>
        <w:autoSpaceDN w:val="0"/>
        <w:adjustRightInd w:val="0"/>
        <w:spacing w:after="120"/>
        <w:ind w:hanging="357"/>
        <w:rPr>
          <w:rFonts w:ascii="Gill Sans MT" w:eastAsiaTheme="minorHAnsi" w:hAnsi="Gill Sans MT" w:cs="Arial"/>
          <w:sz w:val="24"/>
          <w:szCs w:val="24"/>
        </w:rPr>
      </w:pPr>
      <w:r w:rsidRPr="0083096F">
        <w:rPr>
          <w:rFonts w:ascii="Gill Sans MT" w:eastAsiaTheme="minorHAnsi" w:hAnsi="Gill Sans MT" w:cs="Arial"/>
          <w:sz w:val="24"/>
          <w:szCs w:val="24"/>
        </w:rPr>
        <w:t>15% (or 95,000) of this group are ‘problem gamblers’. A further 15% of pokie players face ‘moderate risks’.</w:t>
      </w:r>
    </w:p>
    <w:p w:rsidR="006708FF" w:rsidRPr="0083096F" w:rsidRDefault="006708FF" w:rsidP="006708FF">
      <w:pPr>
        <w:spacing w:after="120"/>
        <w:rPr>
          <w:rFonts w:ascii="Gill Sans MT" w:hAnsi="Gill Sans MT" w:cs="Arial"/>
          <w:sz w:val="24"/>
          <w:szCs w:val="24"/>
        </w:rPr>
      </w:pPr>
      <w:r w:rsidRPr="0083096F">
        <w:rPr>
          <w:rFonts w:ascii="Gill Sans MT" w:hAnsi="Gill Sans MT" w:cs="Arial"/>
          <w:sz w:val="24"/>
          <w:szCs w:val="24"/>
        </w:rPr>
        <w:t>Problem gambling can affect people in a number of different ways:</w:t>
      </w:r>
    </w:p>
    <w:p w:rsidR="006708FF" w:rsidRPr="0083096F" w:rsidRDefault="006708FF" w:rsidP="006708FF">
      <w:pPr>
        <w:numPr>
          <w:ilvl w:val="0"/>
          <w:numId w:val="2"/>
        </w:numPr>
        <w:spacing w:after="120"/>
        <w:rPr>
          <w:rFonts w:ascii="Gill Sans MT" w:hAnsi="Gill Sans MT" w:cs="Arial"/>
          <w:sz w:val="24"/>
          <w:szCs w:val="24"/>
        </w:rPr>
      </w:pPr>
      <w:r w:rsidRPr="0083096F">
        <w:rPr>
          <w:rFonts w:ascii="Gill Sans MT" w:hAnsi="Gill Sans MT" w:cs="Arial"/>
          <w:sz w:val="24"/>
          <w:szCs w:val="24"/>
        </w:rPr>
        <w:t>Personal – stress, depression, anxiety, suicide, poor health;</w:t>
      </w:r>
    </w:p>
    <w:p w:rsidR="006708FF" w:rsidRPr="0083096F" w:rsidRDefault="006708FF" w:rsidP="006708FF">
      <w:pPr>
        <w:numPr>
          <w:ilvl w:val="0"/>
          <w:numId w:val="2"/>
        </w:numPr>
        <w:spacing w:after="120"/>
        <w:rPr>
          <w:rFonts w:ascii="Gill Sans MT" w:hAnsi="Gill Sans MT" w:cs="Arial"/>
          <w:sz w:val="24"/>
          <w:szCs w:val="24"/>
        </w:rPr>
      </w:pPr>
      <w:r w:rsidRPr="0083096F">
        <w:rPr>
          <w:rFonts w:ascii="Gill Sans MT" w:hAnsi="Gill Sans MT" w:cs="Arial"/>
          <w:sz w:val="24"/>
          <w:szCs w:val="24"/>
        </w:rPr>
        <w:t>Financial – financial hardship, debt, asset loss, bankruptcy;</w:t>
      </w:r>
    </w:p>
    <w:p w:rsidR="006708FF" w:rsidRPr="0083096F" w:rsidRDefault="006708FF" w:rsidP="006708FF">
      <w:pPr>
        <w:numPr>
          <w:ilvl w:val="0"/>
          <w:numId w:val="2"/>
        </w:numPr>
        <w:spacing w:after="120"/>
        <w:rPr>
          <w:rFonts w:ascii="Gill Sans MT" w:hAnsi="Gill Sans MT" w:cs="Arial"/>
          <w:sz w:val="24"/>
          <w:szCs w:val="24"/>
        </w:rPr>
      </w:pPr>
      <w:r w:rsidRPr="0083096F">
        <w:rPr>
          <w:rFonts w:ascii="Gill Sans MT" w:hAnsi="Gill Sans MT" w:cs="Arial"/>
          <w:sz w:val="24"/>
          <w:szCs w:val="24"/>
        </w:rPr>
        <w:t>Legal – bankruptcy, theft, imprisonment, domestic or other violence;</w:t>
      </w:r>
    </w:p>
    <w:p w:rsidR="006708FF" w:rsidRPr="0083096F" w:rsidRDefault="006708FF" w:rsidP="006708FF">
      <w:pPr>
        <w:numPr>
          <w:ilvl w:val="0"/>
          <w:numId w:val="2"/>
        </w:numPr>
        <w:spacing w:after="120"/>
        <w:rPr>
          <w:rFonts w:ascii="Gill Sans MT" w:hAnsi="Gill Sans MT" w:cs="Arial"/>
          <w:sz w:val="24"/>
          <w:szCs w:val="24"/>
        </w:rPr>
      </w:pPr>
      <w:r w:rsidRPr="0083096F">
        <w:rPr>
          <w:rFonts w:ascii="Gill Sans MT" w:hAnsi="Gill Sans MT" w:cs="Arial"/>
          <w:sz w:val="24"/>
          <w:szCs w:val="24"/>
        </w:rPr>
        <w:t xml:space="preserve">Interpersonal – domestic violence, relationship breakdown, family breakdown, family neglect; and </w:t>
      </w:r>
    </w:p>
    <w:p w:rsidR="006708FF" w:rsidRPr="0083096F" w:rsidRDefault="006708FF" w:rsidP="006708FF">
      <w:pPr>
        <w:numPr>
          <w:ilvl w:val="0"/>
          <w:numId w:val="2"/>
        </w:numPr>
        <w:spacing w:after="120"/>
        <w:rPr>
          <w:rFonts w:ascii="Gill Sans MT" w:hAnsi="Gill Sans MT" w:cs="Arial"/>
          <w:sz w:val="24"/>
          <w:szCs w:val="24"/>
        </w:rPr>
      </w:pPr>
      <w:r w:rsidRPr="0083096F">
        <w:rPr>
          <w:rFonts w:ascii="Gill Sans MT" w:hAnsi="Gill Sans MT" w:cs="Arial"/>
          <w:sz w:val="24"/>
          <w:szCs w:val="24"/>
        </w:rPr>
        <w:t>Work and Study – job loss, absenteeism, poor performance.</w:t>
      </w:r>
    </w:p>
    <w:p w:rsidR="006708FF" w:rsidRPr="0083096F" w:rsidRDefault="006708FF" w:rsidP="006708FF">
      <w:pPr>
        <w:spacing w:after="120"/>
        <w:rPr>
          <w:rFonts w:ascii="Gill Sans MT" w:hAnsi="Gill Sans MT" w:cs="Arial"/>
          <w:sz w:val="24"/>
          <w:szCs w:val="24"/>
        </w:rPr>
      </w:pPr>
      <w:r w:rsidRPr="0083096F">
        <w:rPr>
          <w:rFonts w:ascii="Gill Sans MT" w:hAnsi="Gill Sans MT" w:cs="Arial"/>
          <w:sz w:val="24"/>
          <w:szCs w:val="24"/>
        </w:rPr>
        <w:t xml:space="preserve">In Australia problem gamblers lose on average $12,000 each per year, compared to just under $650 for other gamblers. </w:t>
      </w:r>
    </w:p>
    <w:p w:rsidR="006708FF" w:rsidRPr="0083096F" w:rsidRDefault="006708FF" w:rsidP="006708FF">
      <w:pPr>
        <w:spacing w:after="120"/>
        <w:rPr>
          <w:rFonts w:ascii="Gill Sans MT" w:hAnsi="Gill Sans MT" w:cs="Arial"/>
          <w:color w:val="111111"/>
          <w:sz w:val="24"/>
          <w:szCs w:val="24"/>
          <w:lang w:eastAsia="en-AU"/>
        </w:rPr>
      </w:pPr>
      <w:r w:rsidRPr="0083096F">
        <w:rPr>
          <w:rFonts w:ascii="Gill Sans MT" w:hAnsi="Gill Sans MT" w:cs="Arial"/>
          <w:color w:val="111111"/>
          <w:sz w:val="24"/>
          <w:szCs w:val="24"/>
          <w:lang w:eastAsia="en-AU"/>
        </w:rPr>
        <w:t>The rough count of people directly affected ignores the ‘ripple effects’ of problem gambling. For each problem gambler, several others are affected — including family members, friends, employers and colleagues.</w:t>
      </w:r>
    </w:p>
    <w:p w:rsidR="006708FF" w:rsidRPr="0083096F" w:rsidRDefault="006708FF" w:rsidP="006708FF">
      <w:pPr>
        <w:spacing w:after="120"/>
        <w:rPr>
          <w:rFonts w:ascii="Gill Sans MT" w:hAnsi="Gill Sans MT" w:cs="Arial"/>
          <w:color w:val="111111"/>
          <w:sz w:val="24"/>
          <w:szCs w:val="24"/>
          <w:lang w:eastAsia="en-AU"/>
        </w:rPr>
      </w:pPr>
      <w:r w:rsidRPr="0083096F">
        <w:rPr>
          <w:rFonts w:ascii="Gill Sans MT" w:hAnsi="Gill Sans MT" w:cs="Arial"/>
          <w:color w:val="111111"/>
          <w:sz w:val="24"/>
          <w:szCs w:val="24"/>
          <w:lang w:eastAsia="en-AU"/>
        </w:rPr>
        <w:t>More recent research has drawn attention to the gambling harm arising from what has been previously considered as low or medium risk gambling.</w:t>
      </w:r>
    </w:p>
    <w:p w:rsidR="006708FF" w:rsidRPr="0083096F" w:rsidRDefault="006708FF" w:rsidP="006708FF">
      <w:pPr>
        <w:spacing w:after="120"/>
        <w:rPr>
          <w:rFonts w:ascii="Gill Sans MT" w:hAnsi="Gill Sans MT" w:cs="Arial"/>
          <w:color w:val="111111"/>
          <w:sz w:val="24"/>
          <w:szCs w:val="24"/>
          <w:lang w:eastAsia="en-AU"/>
        </w:rPr>
      </w:pPr>
      <w:r w:rsidRPr="0083096F">
        <w:rPr>
          <w:rFonts w:ascii="Gill Sans MT" w:hAnsi="Gill Sans MT" w:cs="Arial"/>
          <w:color w:val="111111"/>
          <w:sz w:val="24"/>
          <w:szCs w:val="24"/>
          <w:lang w:eastAsia="en-AU"/>
        </w:rPr>
        <w:t>Until recently attitudes towards gambling – both from non-gamblers and gamblers themselves – tended to place gamblers in one of two very distinct camps: you were either in control and “gambling responsibly”, or you had a problem – there was nothing in between.</w:t>
      </w:r>
    </w:p>
    <w:p w:rsidR="006708FF" w:rsidRPr="0083096F" w:rsidRDefault="006708FF" w:rsidP="006708FF">
      <w:pPr>
        <w:spacing w:after="120"/>
        <w:rPr>
          <w:rFonts w:ascii="Gill Sans MT" w:hAnsi="Gill Sans MT" w:cs="Arial"/>
          <w:color w:val="111111"/>
          <w:sz w:val="24"/>
          <w:szCs w:val="24"/>
          <w:lang w:eastAsia="en-AU"/>
        </w:rPr>
      </w:pPr>
      <w:r w:rsidRPr="0083096F">
        <w:rPr>
          <w:rFonts w:ascii="Gill Sans MT" w:hAnsi="Gill Sans MT" w:cs="Arial"/>
          <w:color w:val="111111"/>
          <w:sz w:val="24"/>
          <w:szCs w:val="24"/>
          <w:lang w:eastAsia="en-AU"/>
        </w:rPr>
        <w:lastRenderedPageBreak/>
        <w:t>In July 2017 the Victorian Responsible Gambling Foundation drew together the research on low-risk and moderate-risk gambling in a Background Paper titled “Hidden harm: Low-risk and moderate-risk gambling”, which paints a more complicated and sophisticated picture.</w:t>
      </w:r>
    </w:p>
    <w:p w:rsidR="006708FF" w:rsidRPr="0083096F" w:rsidRDefault="006708FF" w:rsidP="006708FF">
      <w:pPr>
        <w:spacing w:after="120"/>
        <w:rPr>
          <w:rFonts w:ascii="Gill Sans MT" w:hAnsi="Gill Sans MT" w:cs="Arial"/>
          <w:color w:val="111111"/>
          <w:sz w:val="24"/>
          <w:szCs w:val="24"/>
          <w:lang w:eastAsia="en-AU"/>
        </w:rPr>
      </w:pPr>
      <w:r w:rsidRPr="0083096F">
        <w:rPr>
          <w:rFonts w:ascii="Gill Sans MT" w:hAnsi="Gill Sans MT" w:cs="Arial"/>
          <w:color w:val="111111"/>
          <w:sz w:val="24"/>
          <w:szCs w:val="24"/>
          <w:lang w:eastAsia="en-AU"/>
        </w:rPr>
        <w:t>According to the paper, low-risk gamblers experience financial impacts like less spending on recreation, and a reduction in savings and available spending money. Family and friends of moderate risk gamblers reported feelings of anger, hopelessness and distress. Affected others were more likely than gamblers to report conflict or tension in the relationship as a harm from gambling.</w:t>
      </w:r>
    </w:p>
    <w:p w:rsidR="006708FF" w:rsidRPr="0083096F" w:rsidRDefault="006708FF" w:rsidP="006708FF">
      <w:pPr>
        <w:spacing w:after="120"/>
        <w:rPr>
          <w:rFonts w:ascii="Gill Sans MT" w:hAnsi="Gill Sans MT" w:cs="Arial"/>
          <w:color w:val="111111"/>
          <w:sz w:val="24"/>
          <w:szCs w:val="24"/>
          <w:lang w:eastAsia="en-AU"/>
        </w:rPr>
      </w:pPr>
      <w:r w:rsidRPr="0083096F">
        <w:rPr>
          <w:rFonts w:ascii="Gill Sans MT" w:hAnsi="Gill Sans MT" w:cs="Arial"/>
          <w:color w:val="111111"/>
          <w:sz w:val="24"/>
          <w:szCs w:val="24"/>
          <w:lang w:eastAsia="en-AU"/>
        </w:rPr>
        <w:t>There appear to be higher rates of mental health conditions such as depression and anxiety among low-risk and moderate-risk gamblers. Research indicates that low-risk and moderate-risk gamblers are more likely to smoke and drink more alcohol than non-problem gamblers. Moderate-risk gamblers had lower overall health and lower scores in physical and psychological health than non-problem gamblers.</w:t>
      </w:r>
    </w:p>
    <w:p w:rsidR="006708FF" w:rsidRPr="0083096F" w:rsidRDefault="006708FF" w:rsidP="006708FF">
      <w:pPr>
        <w:spacing w:after="120"/>
        <w:rPr>
          <w:rFonts w:ascii="Gill Sans MT" w:hAnsi="Gill Sans MT" w:cs="Arial"/>
          <w:color w:val="111111"/>
          <w:sz w:val="24"/>
          <w:szCs w:val="24"/>
          <w:lang w:eastAsia="en-AU"/>
        </w:rPr>
      </w:pPr>
      <w:r w:rsidRPr="0083096F">
        <w:rPr>
          <w:rFonts w:ascii="Gill Sans MT" w:hAnsi="Gill Sans MT" w:cs="Arial"/>
          <w:color w:val="111111"/>
          <w:sz w:val="24"/>
          <w:szCs w:val="24"/>
          <w:lang w:eastAsia="en-AU"/>
        </w:rPr>
        <w:t>The Paper found that in Victoria, close to 9 per cent or 400,000 Victorian adults are low-risk gamblers, and over 100,000, or 2.8%, are moderate-risk gamblers. The incidence of low-risk gambling increased from 5.7% to 8.9% from 2008 to 2014, an increase of 56%.</w:t>
      </w:r>
    </w:p>
    <w:p w:rsidR="006708FF" w:rsidRPr="0083096F" w:rsidRDefault="006708FF" w:rsidP="00302185">
      <w:pPr>
        <w:pStyle w:val="Heading1"/>
        <w:spacing w:before="120"/>
        <w:rPr>
          <w:rFonts w:ascii="Gill Sans MT" w:hAnsi="Gill Sans MT"/>
        </w:rPr>
      </w:pPr>
    </w:p>
    <w:p w:rsidR="00470C87" w:rsidRPr="0083096F" w:rsidRDefault="00470C87" w:rsidP="00302185">
      <w:pPr>
        <w:pStyle w:val="Heading1"/>
        <w:spacing w:before="120"/>
        <w:rPr>
          <w:rFonts w:ascii="Gill Sans MT" w:hAnsi="Gill Sans MT"/>
        </w:rPr>
      </w:pPr>
      <w:bookmarkStart w:id="8" w:name="_Toc504143037"/>
      <w:r w:rsidRPr="0083096F">
        <w:rPr>
          <w:rFonts w:ascii="Gill Sans MT" w:hAnsi="Gill Sans MT"/>
        </w:rPr>
        <w:t>2.3</w:t>
      </w:r>
      <w:r w:rsidRPr="0083096F">
        <w:rPr>
          <w:rFonts w:ascii="Gill Sans MT" w:hAnsi="Gill Sans MT"/>
        </w:rPr>
        <w:tab/>
        <w:t>Significance of EGM machines</w:t>
      </w:r>
      <w:bookmarkEnd w:id="8"/>
    </w:p>
    <w:p w:rsidR="00470C87" w:rsidRPr="0083096F" w:rsidRDefault="00470C87" w:rsidP="00470C87">
      <w:pPr>
        <w:rPr>
          <w:rFonts w:ascii="Gill Sans MT" w:hAnsi="Gill Sans MT" w:cs="Arial"/>
        </w:rPr>
      </w:pPr>
    </w:p>
    <w:p w:rsidR="006708FF" w:rsidRPr="0083096F" w:rsidRDefault="006708FF" w:rsidP="006708FF">
      <w:pPr>
        <w:rPr>
          <w:rFonts w:ascii="Gill Sans MT" w:hAnsi="Gill Sans MT" w:cs="Arial"/>
          <w:sz w:val="24"/>
          <w:szCs w:val="24"/>
        </w:rPr>
      </w:pPr>
      <w:r w:rsidRPr="0083096F">
        <w:rPr>
          <w:rFonts w:ascii="Gill Sans MT" w:hAnsi="Gill Sans MT" w:cs="Arial"/>
          <w:sz w:val="24"/>
          <w:szCs w:val="24"/>
        </w:rPr>
        <w:t>The number and distribution of EGMs in Victoria is particularly significant for the following reasons:</w:t>
      </w:r>
    </w:p>
    <w:p w:rsidR="006708FF" w:rsidRPr="0083096F" w:rsidRDefault="006708FF" w:rsidP="006708FF">
      <w:pPr>
        <w:rPr>
          <w:rFonts w:ascii="Gill Sans MT" w:hAnsi="Gill Sans MT" w:cs="Arial"/>
          <w:sz w:val="24"/>
          <w:szCs w:val="24"/>
        </w:rPr>
      </w:pPr>
    </w:p>
    <w:p w:rsidR="006708FF" w:rsidRPr="0083096F" w:rsidRDefault="006708FF" w:rsidP="006708FF">
      <w:pPr>
        <w:numPr>
          <w:ilvl w:val="0"/>
          <w:numId w:val="1"/>
        </w:numPr>
        <w:spacing w:after="120"/>
        <w:ind w:left="714" w:hanging="357"/>
        <w:rPr>
          <w:rFonts w:ascii="Gill Sans MT" w:hAnsi="Gill Sans MT" w:cs="Arial"/>
          <w:sz w:val="24"/>
          <w:szCs w:val="24"/>
        </w:rPr>
      </w:pPr>
      <w:r w:rsidRPr="0083096F">
        <w:rPr>
          <w:rFonts w:ascii="Gill Sans MT" w:hAnsi="Gill Sans MT" w:cs="Arial"/>
          <w:sz w:val="24"/>
          <w:szCs w:val="24"/>
        </w:rPr>
        <w:t>EGMs are the major form of gambling expenditure in Victoria;</w:t>
      </w:r>
    </w:p>
    <w:p w:rsidR="006708FF" w:rsidRPr="0083096F" w:rsidRDefault="006708FF" w:rsidP="006708FF">
      <w:pPr>
        <w:numPr>
          <w:ilvl w:val="0"/>
          <w:numId w:val="1"/>
        </w:numPr>
        <w:spacing w:after="120"/>
        <w:ind w:left="714" w:hanging="357"/>
        <w:rPr>
          <w:rFonts w:ascii="Gill Sans MT" w:hAnsi="Gill Sans MT" w:cs="Arial"/>
          <w:sz w:val="24"/>
          <w:szCs w:val="24"/>
        </w:rPr>
      </w:pPr>
      <w:r w:rsidRPr="0083096F">
        <w:rPr>
          <w:rFonts w:ascii="Gill Sans MT" w:hAnsi="Gill Sans MT" w:cs="Arial"/>
          <w:sz w:val="24"/>
          <w:szCs w:val="24"/>
        </w:rPr>
        <w:t>Whilst other forms of gambling are growing rapidly, in particular on-line gambling and sports betting, the expenditure on these is dwarfed by losses on EGMs;</w:t>
      </w:r>
    </w:p>
    <w:p w:rsidR="006708FF" w:rsidRPr="0083096F" w:rsidRDefault="006708FF" w:rsidP="006708FF">
      <w:pPr>
        <w:numPr>
          <w:ilvl w:val="0"/>
          <w:numId w:val="1"/>
        </w:numPr>
        <w:spacing w:after="120"/>
        <w:ind w:left="714" w:hanging="357"/>
        <w:rPr>
          <w:rFonts w:ascii="Gill Sans MT" w:hAnsi="Gill Sans MT" w:cs="Arial"/>
          <w:sz w:val="24"/>
          <w:szCs w:val="24"/>
        </w:rPr>
      </w:pPr>
      <w:r w:rsidRPr="0083096F">
        <w:rPr>
          <w:rFonts w:ascii="Gill Sans MT" w:hAnsi="Gill Sans MT" w:cs="Arial"/>
          <w:sz w:val="24"/>
          <w:szCs w:val="24"/>
        </w:rPr>
        <w:t>The economic impact of EGMs is local.  There is a direct relationship between the density of EGMs in an LGA and EGM expenditure per adult.  The more EGMs there are in a particular area, the higher the average expenditure per adult will be for that area;</w:t>
      </w:r>
    </w:p>
    <w:p w:rsidR="006708FF" w:rsidRPr="0083096F" w:rsidRDefault="006708FF" w:rsidP="006708FF">
      <w:pPr>
        <w:numPr>
          <w:ilvl w:val="0"/>
          <w:numId w:val="1"/>
        </w:numPr>
        <w:spacing w:after="120"/>
        <w:ind w:left="714" w:hanging="357"/>
        <w:rPr>
          <w:rFonts w:ascii="Gill Sans MT" w:hAnsi="Gill Sans MT" w:cs="Arial"/>
          <w:sz w:val="24"/>
          <w:szCs w:val="24"/>
        </w:rPr>
      </w:pPr>
      <w:r w:rsidRPr="0083096F">
        <w:rPr>
          <w:rFonts w:ascii="Gill Sans MT" w:hAnsi="Gill Sans MT" w:cs="Arial"/>
          <w:sz w:val="24"/>
          <w:szCs w:val="24"/>
        </w:rPr>
        <w:t>The most disadvantaged communities tend to incur the highest gambling losses. In 2015/16 EGM losses in Greater Dandenong, the least affluent locality in metropolitan Melbourne, were $976 per adult, nearly 7 times more than the $142 per adult in Boroondara, among the most advantaged municipalities in Victoria.</w:t>
      </w:r>
    </w:p>
    <w:p w:rsidR="006708FF" w:rsidRPr="0083096F" w:rsidRDefault="006708FF" w:rsidP="006708FF">
      <w:pPr>
        <w:numPr>
          <w:ilvl w:val="0"/>
          <w:numId w:val="1"/>
        </w:numPr>
        <w:spacing w:after="120"/>
        <w:ind w:left="714" w:hanging="357"/>
        <w:rPr>
          <w:rFonts w:ascii="Gill Sans MT" w:hAnsi="Gill Sans MT" w:cs="Arial"/>
          <w:sz w:val="24"/>
          <w:szCs w:val="24"/>
        </w:rPr>
      </w:pPr>
      <w:r w:rsidRPr="0083096F">
        <w:rPr>
          <w:rFonts w:ascii="Gill Sans MT" w:hAnsi="Gill Sans MT" w:cs="Arial"/>
          <w:sz w:val="24"/>
          <w:szCs w:val="24"/>
        </w:rPr>
        <w:t>EGMs are a major source of problem gambling.  The use of gaming machines is associated with approximately 80% of problem gamblers who receive counselling; and</w:t>
      </w:r>
    </w:p>
    <w:p w:rsidR="006708FF" w:rsidRPr="0083096F" w:rsidRDefault="006708FF" w:rsidP="006708FF">
      <w:pPr>
        <w:numPr>
          <w:ilvl w:val="0"/>
          <w:numId w:val="1"/>
        </w:numPr>
        <w:spacing w:after="120"/>
        <w:ind w:left="714" w:hanging="357"/>
        <w:rPr>
          <w:rFonts w:ascii="Gill Sans MT" w:hAnsi="Gill Sans MT" w:cs="Arial"/>
        </w:rPr>
      </w:pPr>
      <w:r w:rsidRPr="0083096F">
        <w:rPr>
          <w:rFonts w:ascii="Gill Sans MT" w:hAnsi="Gill Sans MT" w:cs="Arial"/>
          <w:sz w:val="24"/>
          <w:szCs w:val="24"/>
        </w:rPr>
        <w:t xml:space="preserve">EGMs are increasingly available across the Banyule community and in significant proportions at Banyule hotels. </w:t>
      </w:r>
    </w:p>
    <w:p w:rsidR="007860D1" w:rsidRPr="0083096F" w:rsidRDefault="007860D1" w:rsidP="00C557CE">
      <w:pPr>
        <w:spacing w:after="120"/>
        <w:ind w:left="357"/>
        <w:rPr>
          <w:rFonts w:ascii="Gill Sans MT" w:hAnsi="Gill Sans MT" w:cs="Arial"/>
        </w:rPr>
      </w:pPr>
    </w:p>
    <w:p w:rsidR="00470C87" w:rsidRPr="0083096F" w:rsidRDefault="00470C87" w:rsidP="00302185">
      <w:pPr>
        <w:pStyle w:val="Heading1"/>
        <w:spacing w:before="120"/>
        <w:rPr>
          <w:rFonts w:ascii="Gill Sans MT" w:hAnsi="Gill Sans MT"/>
        </w:rPr>
      </w:pPr>
      <w:bookmarkStart w:id="9" w:name="_Toc504143038"/>
      <w:r w:rsidRPr="0083096F">
        <w:rPr>
          <w:rFonts w:ascii="Gill Sans MT" w:hAnsi="Gill Sans MT"/>
        </w:rPr>
        <w:t>2.4</w:t>
      </w:r>
      <w:r w:rsidRPr="0083096F">
        <w:rPr>
          <w:rFonts w:ascii="Gill Sans MT" w:hAnsi="Gill Sans MT"/>
        </w:rPr>
        <w:tab/>
        <w:t>EGMs in Victoria</w:t>
      </w:r>
      <w:bookmarkEnd w:id="9"/>
    </w:p>
    <w:p w:rsidR="00470C87" w:rsidRPr="0083096F" w:rsidRDefault="00470C87" w:rsidP="00470C87">
      <w:pPr>
        <w:rPr>
          <w:rFonts w:ascii="Gill Sans MT" w:hAnsi="Gill Sans MT" w:cs="Arial"/>
        </w:rPr>
      </w:pPr>
    </w:p>
    <w:p w:rsidR="00470C87" w:rsidRPr="0083096F" w:rsidRDefault="00470C87" w:rsidP="00470C87">
      <w:pPr>
        <w:rPr>
          <w:rFonts w:ascii="Gill Sans MT" w:hAnsi="Gill Sans MT" w:cs="Arial"/>
          <w:sz w:val="24"/>
          <w:szCs w:val="24"/>
        </w:rPr>
      </w:pPr>
      <w:r w:rsidRPr="0083096F">
        <w:rPr>
          <w:rFonts w:ascii="Gill Sans MT" w:hAnsi="Gill Sans MT" w:cs="Arial"/>
          <w:sz w:val="24"/>
          <w:szCs w:val="24"/>
        </w:rPr>
        <w:t xml:space="preserve">Victoria has established a ‘cap’ of 30,000 EGMs, of which 2,500 are situated at Crown Casino, and the remaining 27,500 evenly split between clubs and hotels across the State. </w:t>
      </w:r>
      <w:r w:rsidR="009F60EC" w:rsidRPr="0083096F">
        <w:rPr>
          <w:rFonts w:ascii="Gill Sans MT" w:hAnsi="Gill Sans MT" w:cs="Arial"/>
          <w:sz w:val="24"/>
          <w:szCs w:val="24"/>
        </w:rPr>
        <w:t xml:space="preserve">The Victorian Government’s 2017 Gambling Regulation Amendment </w:t>
      </w:r>
      <w:r w:rsidR="009923DC" w:rsidRPr="0083096F">
        <w:rPr>
          <w:rFonts w:ascii="Gill Sans MT" w:hAnsi="Gill Sans MT" w:cs="Arial"/>
          <w:sz w:val="24"/>
          <w:szCs w:val="24"/>
        </w:rPr>
        <w:t>(Gaming Machine Arrangements)</w:t>
      </w:r>
      <w:r w:rsidR="003D1718" w:rsidRPr="0083096F">
        <w:rPr>
          <w:rFonts w:ascii="Gill Sans MT" w:hAnsi="Gill Sans MT" w:cs="Arial"/>
          <w:sz w:val="24"/>
          <w:szCs w:val="24"/>
        </w:rPr>
        <w:t xml:space="preserve"> </w:t>
      </w:r>
      <w:r w:rsidR="009F60EC" w:rsidRPr="0083096F">
        <w:rPr>
          <w:rFonts w:ascii="Gill Sans MT" w:hAnsi="Gill Sans MT" w:cs="Arial"/>
          <w:sz w:val="24"/>
          <w:szCs w:val="24"/>
        </w:rPr>
        <w:t>Act has opened the door to the 50/50 split being changed, with the Minister now having a power to give unallocated club licences to hotels.</w:t>
      </w:r>
      <w:r w:rsidRPr="0083096F">
        <w:rPr>
          <w:rFonts w:ascii="Gill Sans MT" w:hAnsi="Gill Sans MT" w:cs="Arial"/>
          <w:sz w:val="24"/>
          <w:szCs w:val="24"/>
        </w:rPr>
        <w:t xml:space="preserve"> Apart from the Casino, there is a maximum of 105 machines per venue and a minimum of 20% of machines have to be located outside the Melbourne metropolitan area.</w:t>
      </w:r>
    </w:p>
    <w:p w:rsidR="00470C87" w:rsidRPr="0083096F" w:rsidRDefault="00470C87" w:rsidP="00470C87">
      <w:pPr>
        <w:rPr>
          <w:rFonts w:ascii="Gill Sans MT" w:hAnsi="Gill Sans MT" w:cs="Arial"/>
          <w:sz w:val="24"/>
          <w:szCs w:val="24"/>
        </w:rPr>
      </w:pPr>
    </w:p>
    <w:p w:rsidR="00470C87" w:rsidRPr="0083096F" w:rsidRDefault="00470C87" w:rsidP="009923DC">
      <w:p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In 2012, gaming licensing arrangements came into operation in Victoria ending Tabcorp's and Tattersalls' duopoly as Victorian gaming operators. Previously they had held 50</w:t>
      </w:r>
      <w:r w:rsidR="00397FEA" w:rsidRPr="0083096F">
        <w:rPr>
          <w:rFonts w:ascii="Gill Sans MT" w:eastAsiaTheme="minorHAnsi" w:hAnsi="Gill Sans MT" w:cs="Arial"/>
          <w:sz w:val="24"/>
          <w:szCs w:val="24"/>
        </w:rPr>
        <w:t>%</w:t>
      </w:r>
      <w:r w:rsidRPr="0083096F">
        <w:rPr>
          <w:rFonts w:ascii="Gill Sans MT" w:eastAsiaTheme="minorHAnsi" w:hAnsi="Gill Sans MT" w:cs="Arial"/>
          <w:sz w:val="24"/>
          <w:szCs w:val="24"/>
        </w:rPr>
        <w:t xml:space="preserve"> each of non-casino gaming licences. The</w:t>
      </w:r>
      <w:r w:rsidR="009923DC" w:rsidRPr="0083096F">
        <w:rPr>
          <w:rFonts w:ascii="Gill Sans MT" w:eastAsiaTheme="minorHAnsi" w:hAnsi="Gill Sans MT" w:cs="Arial"/>
          <w:sz w:val="24"/>
          <w:szCs w:val="24"/>
        </w:rPr>
        <w:t xml:space="preserve">se </w:t>
      </w:r>
      <w:r w:rsidRPr="0083096F">
        <w:rPr>
          <w:rFonts w:ascii="Gill Sans MT" w:eastAsiaTheme="minorHAnsi" w:hAnsi="Gill Sans MT" w:cs="Arial"/>
          <w:sz w:val="24"/>
          <w:szCs w:val="24"/>
        </w:rPr>
        <w:t>arrangements enable</w:t>
      </w:r>
      <w:r w:rsidR="009923DC" w:rsidRPr="0083096F">
        <w:rPr>
          <w:rFonts w:ascii="Gill Sans MT" w:eastAsiaTheme="minorHAnsi" w:hAnsi="Gill Sans MT" w:cs="Arial"/>
          <w:sz w:val="24"/>
          <w:szCs w:val="24"/>
        </w:rPr>
        <w:t>d</w:t>
      </w:r>
      <w:r w:rsidRPr="0083096F">
        <w:rPr>
          <w:rFonts w:ascii="Gill Sans MT" w:eastAsiaTheme="minorHAnsi" w:hAnsi="Gill Sans MT" w:cs="Arial"/>
          <w:sz w:val="24"/>
          <w:szCs w:val="24"/>
        </w:rPr>
        <w:t xml:space="preserve"> venue operators to purchase 10-year EGM entitlements, which authorise</w:t>
      </w:r>
      <w:r w:rsidR="009923DC" w:rsidRPr="0083096F">
        <w:rPr>
          <w:rFonts w:ascii="Gill Sans MT" w:eastAsiaTheme="minorHAnsi" w:hAnsi="Gill Sans MT" w:cs="Arial"/>
          <w:sz w:val="24"/>
          <w:szCs w:val="24"/>
        </w:rPr>
        <w:t>d</w:t>
      </w:r>
      <w:r w:rsidRPr="0083096F">
        <w:rPr>
          <w:rFonts w:ascii="Gill Sans MT" w:eastAsiaTheme="minorHAnsi" w:hAnsi="Gill Sans MT" w:cs="Arial"/>
          <w:sz w:val="24"/>
          <w:szCs w:val="24"/>
        </w:rPr>
        <w:t xml:space="preserve"> them to own and operate EGMs at approved gaming venues. </w:t>
      </w:r>
    </w:p>
    <w:p w:rsidR="009923DC" w:rsidRPr="0083096F" w:rsidRDefault="009923DC" w:rsidP="009923DC">
      <w:pPr>
        <w:autoSpaceDE w:val="0"/>
        <w:autoSpaceDN w:val="0"/>
        <w:adjustRightInd w:val="0"/>
        <w:rPr>
          <w:rFonts w:ascii="Gill Sans MT" w:eastAsiaTheme="minorHAnsi" w:hAnsi="Gill Sans MT" w:cs="Arial"/>
          <w:sz w:val="24"/>
          <w:szCs w:val="24"/>
        </w:rPr>
      </w:pPr>
    </w:p>
    <w:p w:rsidR="009923DC" w:rsidRPr="0083096F" w:rsidRDefault="009923DC" w:rsidP="009923DC">
      <w:p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The Gambling Regulation Amendment (Gaming Machine Arrangements) Bill 2017 extended the licences for poker machines in Victoria to operate until 2042. Clubs and pubs are now being offered a 20 year extension, from August 2022, to their present 10 year entitlements.</w:t>
      </w:r>
    </w:p>
    <w:p w:rsidR="009923DC" w:rsidRPr="0083096F" w:rsidRDefault="009923DC" w:rsidP="009923DC">
      <w:pPr>
        <w:autoSpaceDE w:val="0"/>
        <w:autoSpaceDN w:val="0"/>
        <w:adjustRightInd w:val="0"/>
        <w:rPr>
          <w:rFonts w:ascii="Gill Sans MT" w:eastAsiaTheme="minorHAnsi" w:hAnsi="Gill Sans MT" w:cs="Arial"/>
          <w:sz w:val="24"/>
          <w:szCs w:val="24"/>
        </w:rPr>
      </w:pPr>
    </w:p>
    <w:p w:rsidR="009923DC" w:rsidRPr="0083096F" w:rsidRDefault="009923DC" w:rsidP="009923DC">
      <w:p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 xml:space="preserve">Another noteworthy change in the Act is the introduction of a $200 daily limit on EFTPOS withdrawals at venues. It has been considered that EFTPOS was increasingly being used to get around the Government’s ban on ATMs at poker machine venues. </w:t>
      </w:r>
    </w:p>
    <w:p w:rsidR="0097042C" w:rsidRPr="0083096F" w:rsidRDefault="0097042C" w:rsidP="009923DC">
      <w:pPr>
        <w:autoSpaceDE w:val="0"/>
        <w:autoSpaceDN w:val="0"/>
        <w:adjustRightInd w:val="0"/>
        <w:rPr>
          <w:rFonts w:ascii="Gill Sans MT" w:eastAsiaTheme="minorHAnsi" w:hAnsi="Gill Sans MT" w:cs="Arial"/>
          <w:sz w:val="24"/>
          <w:szCs w:val="24"/>
        </w:rPr>
      </w:pPr>
    </w:p>
    <w:p w:rsidR="00470C87" w:rsidRPr="0083096F" w:rsidRDefault="00E16738" w:rsidP="00470C87">
      <w:pPr>
        <w:rPr>
          <w:rFonts w:ascii="Gill Sans MT" w:hAnsi="Gill Sans MT" w:cs="Arial"/>
          <w:sz w:val="24"/>
          <w:szCs w:val="24"/>
        </w:rPr>
      </w:pPr>
      <w:r w:rsidRPr="0083096F">
        <w:rPr>
          <w:rFonts w:ascii="Gill Sans MT" w:eastAsiaTheme="minorHAnsi" w:hAnsi="Gill Sans MT" w:cs="Arial"/>
          <w:sz w:val="24"/>
          <w:szCs w:val="24"/>
        </w:rPr>
        <w:t>At the same time as it introduced the new legislation, the Victorian Government made significant changes to the regional caps, which were gazetted on 20 September 2017. In relation to Banyule, the previous cap was extended and now covers Bellfield, Bundoora, Eaglemont, Heidelberg, Heidelberg Heights, Heidelberg West, Ivanhoe, Ivanhoe East, Rosanna, Watsonia and Watsonia North. The maximum number of EGMs within this area is now 392. We have been advised that this effectively reduces the number of machines in Banyule from 882 to 788.</w:t>
      </w:r>
    </w:p>
    <w:p w:rsidR="000C42EA" w:rsidRPr="0083096F" w:rsidRDefault="000C42EA" w:rsidP="00470C87">
      <w:pPr>
        <w:rPr>
          <w:rFonts w:ascii="Gill Sans MT" w:hAnsi="Gill Sans MT" w:cs="Arial"/>
        </w:rPr>
      </w:pPr>
    </w:p>
    <w:p w:rsidR="007C1D49" w:rsidRPr="0083096F" w:rsidRDefault="007C1D49" w:rsidP="00302185">
      <w:pPr>
        <w:pStyle w:val="Heading1"/>
        <w:spacing w:before="120"/>
        <w:rPr>
          <w:rFonts w:ascii="Gill Sans MT" w:hAnsi="Gill Sans MT"/>
        </w:rPr>
      </w:pPr>
      <w:bookmarkStart w:id="10" w:name="_Toc504143039"/>
      <w:r w:rsidRPr="0083096F">
        <w:rPr>
          <w:rFonts w:ascii="Gill Sans MT" w:hAnsi="Gill Sans MT"/>
        </w:rPr>
        <w:t>2.5</w:t>
      </w:r>
      <w:r w:rsidRPr="0083096F">
        <w:rPr>
          <w:rFonts w:ascii="Gill Sans MT" w:hAnsi="Gill Sans MT"/>
        </w:rPr>
        <w:tab/>
        <w:t>EGMs in Banyule</w:t>
      </w:r>
      <w:bookmarkEnd w:id="10"/>
    </w:p>
    <w:p w:rsidR="0090593E" w:rsidRPr="0083096F" w:rsidRDefault="0090593E" w:rsidP="007C1D49">
      <w:pPr>
        <w:rPr>
          <w:rFonts w:ascii="Gill Sans MT" w:hAnsi="Gill Sans MT" w:cs="Arial"/>
          <w:b/>
        </w:rPr>
      </w:pPr>
    </w:p>
    <w:p w:rsidR="0090593E" w:rsidRPr="0083096F" w:rsidRDefault="000C3A8A" w:rsidP="007C1D49">
      <w:pPr>
        <w:rPr>
          <w:rFonts w:ascii="Gill Sans MT" w:hAnsi="Gill Sans MT" w:cs="Arial"/>
          <w:sz w:val="24"/>
          <w:szCs w:val="24"/>
        </w:rPr>
      </w:pPr>
      <w:r w:rsidRPr="0083096F">
        <w:rPr>
          <w:rFonts w:ascii="Gill Sans MT" w:hAnsi="Gill Sans MT" w:cs="Arial"/>
          <w:sz w:val="24"/>
          <w:szCs w:val="24"/>
        </w:rPr>
        <w:t>As of January 201</w:t>
      </w:r>
      <w:r w:rsidR="00E16738" w:rsidRPr="0083096F">
        <w:rPr>
          <w:rFonts w:ascii="Gill Sans MT" w:hAnsi="Gill Sans MT" w:cs="Arial"/>
          <w:sz w:val="24"/>
          <w:szCs w:val="24"/>
        </w:rPr>
        <w:t>8</w:t>
      </w:r>
      <w:r w:rsidRPr="0083096F">
        <w:rPr>
          <w:rFonts w:ascii="Gill Sans MT" w:hAnsi="Gill Sans MT" w:cs="Arial"/>
          <w:sz w:val="24"/>
          <w:szCs w:val="24"/>
        </w:rPr>
        <w:t xml:space="preserve">, there are </w:t>
      </w:r>
      <w:r w:rsidR="0026275F" w:rsidRPr="0083096F">
        <w:rPr>
          <w:rFonts w:ascii="Gill Sans MT" w:hAnsi="Gill Sans MT" w:cs="Arial"/>
          <w:sz w:val="24"/>
          <w:szCs w:val="24"/>
        </w:rPr>
        <w:t>9</w:t>
      </w:r>
      <w:r w:rsidR="0090593E" w:rsidRPr="0083096F">
        <w:rPr>
          <w:rFonts w:ascii="Gill Sans MT" w:hAnsi="Gill Sans MT" w:cs="Arial"/>
          <w:sz w:val="24"/>
          <w:szCs w:val="24"/>
        </w:rPr>
        <w:t xml:space="preserve"> licenced EGM venues in Banyule</w:t>
      </w:r>
      <w:r w:rsidR="003D1718" w:rsidRPr="0083096F">
        <w:rPr>
          <w:rFonts w:ascii="Gill Sans MT" w:hAnsi="Gill Sans MT" w:cs="Arial"/>
          <w:sz w:val="24"/>
          <w:szCs w:val="24"/>
        </w:rPr>
        <w:t>,</w:t>
      </w:r>
      <w:r w:rsidR="0090593E" w:rsidRPr="0083096F">
        <w:rPr>
          <w:rFonts w:ascii="Gill Sans MT" w:hAnsi="Gill Sans MT" w:cs="Arial"/>
          <w:sz w:val="24"/>
          <w:szCs w:val="24"/>
        </w:rPr>
        <w:t xml:space="preserve"> with losses totalling $55.</w:t>
      </w:r>
      <w:r w:rsidR="0026275F" w:rsidRPr="0083096F">
        <w:rPr>
          <w:rFonts w:ascii="Gill Sans MT" w:hAnsi="Gill Sans MT" w:cs="Arial"/>
          <w:sz w:val="24"/>
          <w:szCs w:val="24"/>
        </w:rPr>
        <w:t>8</w:t>
      </w:r>
      <w:r w:rsidR="0090593E" w:rsidRPr="0083096F">
        <w:rPr>
          <w:rFonts w:ascii="Gill Sans MT" w:hAnsi="Gill Sans MT" w:cs="Arial"/>
          <w:sz w:val="24"/>
          <w:szCs w:val="24"/>
        </w:rPr>
        <w:t xml:space="preserve"> million in 201</w:t>
      </w:r>
      <w:r w:rsidR="0026275F" w:rsidRPr="0083096F">
        <w:rPr>
          <w:rFonts w:ascii="Gill Sans MT" w:hAnsi="Gill Sans MT" w:cs="Arial"/>
          <w:sz w:val="24"/>
          <w:szCs w:val="24"/>
        </w:rPr>
        <w:t>6</w:t>
      </w:r>
      <w:r w:rsidR="0090593E" w:rsidRPr="0083096F">
        <w:rPr>
          <w:rFonts w:ascii="Gill Sans MT" w:hAnsi="Gill Sans MT" w:cs="Arial"/>
          <w:sz w:val="24"/>
          <w:szCs w:val="24"/>
        </w:rPr>
        <w:t>/1</w:t>
      </w:r>
      <w:r w:rsidR="0026275F" w:rsidRPr="0083096F">
        <w:rPr>
          <w:rFonts w:ascii="Gill Sans MT" w:hAnsi="Gill Sans MT" w:cs="Arial"/>
          <w:sz w:val="24"/>
          <w:szCs w:val="24"/>
        </w:rPr>
        <w:t>7</w:t>
      </w:r>
      <w:r w:rsidR="0090593E" w:rsidRPr="0083096F">
        <w:rPr>
          <w:rFonts w:ascii="Gill Sans MT" w:hAnsi="Gill Sans MT" w:cs="Arial"/>
          <w:sz w:val="24"/>
          <w:szCs w:val="24"/>
        </w:rPr>
        <w:t>.</w:t>
      </w:r>
      <w:r w:rsidR="008809C3" w:rsidRPr="0083096F">
        <w:rPr>
          <w:rStyle w:val="FootnoteReference"/>
          <w:rFonts w:ascii="Gill Sans MT" w:hAnsi="Gill Sans MT" w:cs="Arial"/>
          <w:sz w:val="24"/>
          <w:szCs w:val="24"/>
        </w:rPr>
        <w:footnoteReference w:id="2"/>
      </w:r>
      <w:r w:rsidR="008809C3" w:rsidRPr="0083096F">
        <w:rPr>
          <w:rFonts w:ascii="Gill Sans MT" w:hAnsi="Gill Sans MT" w:cs="Arial"/>
          <w:sz w:val="24"/>
          <w:szCs w:val="24"/>
        </w:rPr>
        <w:t xml:space="preserve"> </w:t>
      </w:r>
    </w:p>
    <w:p w:rsidR="004069C7" w:rsidRPr="0083096F" w:rsidRDefault="004069C7" w:rsidP="007C1D49">
      <w:pPr>
        <w:rPr>
          <w:rFonts w:ascii="Gill Sans MT" w:hAnsi="Gill Sans MT" w:cs="Arial"/>
          <w:sz w:val="24"/>
          <w:szCs w:val="24"/>
        </w:rPr>
      </w:pPr>
    </w:p>
    <w:p w:rsidR="006708FF" w:rsidRPr="0083096F" w:rsidRDefault="006708FF" w:rsidP="006708FF">
      <w:pPr>
        <w:rPr>
          <w:rFonts w:ascii="Gill Sans MT" w:hAnsi="Gill Sans MT" w:cs="Arial"/>
          <w:sz w:val="24"/>
          <w:szCs w:val="24"/>
        </w:rPr>
      </w:pPr>
      <w:r w:rsidRPr="0083096F">
        <w:rPr>
          <w:rFonts w:ascii="Gill Sans MT" w:hAnsi="Gill Sans MT" w:cs="Arial"/>
          <w:sz w:val="24"/>
          <w:szCs w:val="24"/>
        </w:rPr>
        <w:t>There are 635 poker machines in the City of Banyule. The number of EGMs per resident adult in Banyule is now at 6.25 per 1000 adults. This remains above the State average of 5.5 per 1000 adults. Expenditure per adult in Banyule was $549 and on average $152,934 was lost on poker machines each day in Banyule. Banyule is ranked 20</w:t>
      </w:r>
      <w:r w:rsidRPr="0083096F">
        <w:rPr>
          <w:rFonts w:ascii="Gill Sans MT" w:hAnsi="Gill Sans MT" w:cs="Arial"/>
          <w:sz w:val="24"/>
          <w:szCs w:val="24"/>
          <w:vertAlign w:val="superscript"/>
        </w:rPr>
        <w:t>th</w:t>
      </w:r>
      <w:r w:rsidRPr="0083096F">
        <w:rPr>
          <w:rFonts w:ascii="Gill Sans MT" w:hAnsi="Gill Sans MT" w:cs="Arial"/>
          <w:sz w:val="24"/>
          <w:szCs w:val="24"/>
        </w:rPr>
        <w:t xml:space="preserve"> of 70 Local Government Areas for poker machine losses in Victoria.</w:t>
      </w:r>
    </w:p>
    <w:p w:rsidR="006708FF" w:rsidRPr="0083096F" w:rsidRDefault="006708FF" w:rsidP="008809C3">
      <w:pPr>
        <w:rPr>
          <w:rFonts w:ascii="Gill Sans MT" w:hAnsi="Gill Sans MT" w:cs="Arial"/>
          <w:sz w:val="24"/>
          <w:szCs w:val="24"/>
        </w:rPr>
      </w:pPr>
    </w:p>
    <w:p w:rsidR="008809C3" w:rsidRPr="0083096F" w:rsidRDefault="00F66965" w:rsidP="008809C3">
      <w:pPr>
        <w:rPr>
          <w:rFonts w:ascii="Gill Sans MT" w:hAnsi="Gill Sans MT" w:cs="Arial"/>
          <w:sz w:val="24"/>
          <w:szCs w:val="24"/>
        </w:rPr>
      </w:pPr>
      <w:r w:rsidRPr="0083096F">
        <w:rPr>
          <w:rFonts w:ascii="Gill Sans MT" w:hAnsi="Gill Sans MT" w:cs="Arial"/>
          <w:sz w:val="24"/>
          <w:szCs w:val="24"/>
        </w:rPr>
        <w:t>L</w:t>
      </w:r>
      <w:r w:rsidR="008809C3" w:rsidRPr="0083096F">
        <w:rPr>
          <w:rFonts w:ascii="Gill Sans MT" w:hAnsi="Gill Sans MT" w:cs="Arial"/>
          <w:sz w:val="24"/>
          <w:szCs w:val="24"/>
        </w:rPr>
        <w:t xml:space="preserve">osses per machine </w:t>
      </w:r>
      <w:r w:rsidR="003D1718" w:rsidRPr="0083096F">
        <w:rPr>
          <w:rFonts w:ascii="Gill Sans MT" w:hAnsi="Gill Sans MT" w:cs="Arial"/>
          <w:sz w:val="24"/>
          <w:szCs w:val="24"/>
        </w:rPr>
        <w:t xml:space="preserve">in Banyule </w:t>
      </w:r>
      <w:r w:rsidRPr="0083096F">
        <w:rPr>
          <w:rFonts w:ascii="Gill Sans MT" w:hAnsi="Gill Sans MT" w:cs="Arial"/>
          <w:sz w:val="24"/>
          <w:szCs w:val="24"/>
        </w:rPr>
        <w:t>were</w:t>
      </w:r>
      <w:r w:rsidR="008809C3" w:rsidRPr="0083096F">
        <w:rPr>
          <w:rFonts w:ascii="Gill Sans MT" w:hAnsi="Gill Sans MT" w:cs="Arial"/>
          <w:sz w:val="24"/>
          <w:szCs w:val="24"/>
        </w:rPr>
        <w:t xml:space="preserve"> $</w:t>
      </w:r>
      <w:r w:rsidRPr="0083096F">
        <w:rPr>
          <w:rFonts w:ascii="Gill Sans MT" w:hAnsi="Gill Sans MT" w:cs="Arial"/>
          <w:sz w:val="24"/>
          <w:szCs w:val="24"/>
        </w:rPr>
        <w:t>87,90</w:t>
      </w:r>
      <w:r w:rsidR="00E90CC1" w:rsidRPr="0083096F">
        <w:rPr>
          <w:rFonts w:ascii="Gill Sans MT" w:hAnsi="Gill Sans MT" w:cs="Arial"/>
          <w:sz w:val="24"/>
          <w:szCs w:val="24"/>
        </w:rPr>
        <w:t>6</w:t>
      </w:r>
      <w:r w:rsidR="008809C3" w:rsidRPr="0083096F">
        <w:rPr>
          <w:rFonts w:ascii="Gill Sans MT" w:hAnsi="Gill Sans MT" w:cs="Arial"/>
          <w:sz w:val="24"/>
          <w:szCs w:val="24"/>
        </w:rPr>
        <w:t xml:space="preserve"> in 201</w:t>
      </w:r>
      <w:r w:rsidRPr="0083096F">
        <w:rPr>
          <w:rFonts w:ascii="Gill Sans MT" w:hAnsi="Gill Sans MT" w:cs="Arial"/>
          <w:sz w:val="24"/>
          <w:szCs w:val="24"/>
        </w:rPr>
        <w:t>6</w:t>
      </w:r>
      <w:r w:rsidR="008809C3" w:rsidRPr="0083096F">
        <w:rPr>
          <w:rFonts w:ascii="Gill Sans MT" w:hAnsi="Gill Sans MT" w:cs="Arial"/>
          <w:sz w:val="24"/>
          <w:szCs w:val="24"/>
        </w:rPr>
        <w:t>/1</w:t>
      </w:r>
      <w:r w:rsidRPr="0083096F">
        <w:rPr>
          <w:rFonts w:ascii="Gill Sans MT" w:hAnsi="Gill Sans MT" w:cs="Arial"/>
          <w:sz w:val="24"/>
          <w:szCs w:val="24"/>
        </w:rPr>
        <w:t>7</w:t>
      </w:r>
      <w:r w:rsidR="008809C3" w:rsidRPr="0083096F">
        <w:rPr>
          <w:rFonts w:ascii="Gill Sans MT" w:hAnsi="Gill Sans MT" w:cs="Arial"/>
          <w:sz w:val="24"/>
          <w:szCs w:val="24"/>
        </w:rPr>
        <w:t xml:space="preserve">. EGMs in </w:t>
      </w:r>
      <w:r w:rsidR="007860D1" w:rsidRPr="0083096F">
        <w:rPr>
          <w:rFonts w:ascii="Gill Sans MT" w:hAnsi="Gill Sans MT" w:cs="Arial"/>
          <w:sz w:val="24"/>
          <w:szCs w:val="24"/>
        </w:rPr>
        <w:t>H</w:t>
      </w:r>
      <w:r w:rsidR="008809C3" w:rsidRPr="0083096F">
        <w:rPr>
          <w:rFonts w:ascii="Gill Sans MT" w:hAnsi="Gill Sans MT" w:cs="Arial"/>
          <w:sz w:val="24"/>
          <w:szCs w:val="24"/>
        </w:rPr>
        <w:t xml:space="preserve">otels continue to make more than twice as </w:t>
      </w:r>
      <w:r w:rsidR="00B60582" w:rsidRPr="0083096F">
        <w:rPr>
          <w:rFonts w:ascii="Gill Sans MT" w:hAnsi="Gill Sans MT" w:cs="Arial"/>
          <w:sz w:val="24"/>
          <w:szCs w:val="24"/>
        </w:rPr>
        <w:t xml:space="preserve">much </w:t>
      </w:r>
      <w:r w:rsidR="008809C3" w:rsidRPr="0083096F">
        <w:rPr>
          <w:rFonts w:ascii="Gill Sans MT" w:hAnsi="Gill Sans MT" w:cs="Arial"/>
          <w:sz w:val="24"/>
          <w:szCs w:val="24"/>
        </w:rPr>
        <w:t xml:space="preserve">as EGMs in </w:t>
      </w:r>
      <w:r w:rsidR="007860D1" w:rsidRPr="0083096F">
        <w:rPr>
          <w:rFonts w:ascii="Gill Sans MT" w:hAnsi="Gill Sans MT" w:cs="Arial"/>
          <w:sz w:val="24"/>
          <w:szCs w:val="24"/>
        </w:rPr>
        <w:t>C</w:t>
      </w:r>
      <w:r w:rsidR="008809C3" w:rsidRPr="0083096F">
        <w:rPr>
          <w:rFonts w:ascii="Gill Sans MT" w:hAnsi="Gill Sans MT" w:cs="Arial"/>
          <w:sz w:val="24"/>
          <w:szCs w:val="24"/>
        </w:rPr>
        <w:t>lubs.</w:t>
      </w:r>
      <w:r w:rsidR="00235BDB" w:rsidRPr="0083096F">
        <w:rPr>
          <w:rFonts w:ascii="Gill Sans MT" w:hAnsi="Gill Sans MT" w:cs="Arial"/>
          <w:sz w:val="24"/>
          <w:szCs w:val="24"/>
        </w:rPr>
        <w:t xml:space="preserve"> </w:t>
      </w:r>
    </w:p>
    <w:p w:rsidR="004069C7" w:rsidRPr="0083096F" w:rsidRDefault="004069C7" w:rsidP="008809C3">
      <w:pPr>
        <w:rPr>
          <w:rFonts w:ascii="Gill Sans MT" w:hAnsi="Gill Sans MT" w:cs="Arial"/>
          <w:sz w:val="24"/>
          <w:szCs w:val="24"/>
        </w:rPr>
      </w:pPr>
    </w:p>
    <w:p w:rsidR="004069C7" w:rsidRPr="0083096F" w:rsidRDefault="004069C7" w:rsidP="004069C7">
      <w:pPr>
        <w:rPr>
          <w:rFonts w:ascii="Gill Sans MT" w:hAnsi="Gill Sans MT" w:cs="Arial"/>
        </w:rPr>
      </w:pPr>
      <w:r w:rsidRPr="0083096F">
        <w:rPr>
          <w:rFonts w:ascii="Gill Sans MT" w:hAnsi="Gill Sans MT" w:cs="Arial"/>
          <w:sz w:val="24"/>
          <w:szCs w:val="24"/>
        </w:rPr>
        <w:t>This is a significant consideration within the current context of policy formation, as at January 201</w:t>
      </w:r>
      <w:r w:rsidR="00E90CC1" w:rsidRPr="0083096F">
        <w:rPr>
          <w:rFonts w:ascii="Gill Sans MT" w:hAnsi="Gill Sans MT" w:cs="Arial"/>
          <w:sz w:val="24"/>
          <w:szCs w:val="24"/>
        </w:rPr>
        <w:t>7</w:t>
      </w:r>
      <w:r w:rsidRPr="0083096F">
        <w:rPr>
          <w:rFonts w:ascii="Gill Sans MT" w:hAnsi="Gill Sans MT" w:cs="Arial"/>
          <w:sz w:val="24"/>
          <w:szCs w:val="24"/>
        </w:rPr>
        <w:t>,</w:t>
      </w:r>
      <w:r w:rsidR="00943A3A" w:rsidRPr="0083096F">
        <w:rPr>
          <w:rFonts w:ascii="Gill Sans MT" w:hAnsi="Gill Sans MT" w:cs="Arial"/>
          <w:sz w:val="24"/>
          <w:szCs w:val="24"/>
        </w:rPr>
        <w:t xml:space="preserve"> </w:t>
      </w:r>
      <w:r w:rsidRPr="0083096F">
        <w:rPr>
          <w:rFonts w:ascii="Gill Sans MT" w:hAnsi="Gill Sans MT" w:cs="Arial"/>
          <w:sz w:val="24"/>
          <w:szCs w:val="24"/>
        </w:rPr>
        <w:t>3</w:t>
      </w:r>
      <w:r w:rsidR="00E90CC1" w:rsidRPr="0083096F">
        <w:rPr>
          <w:rFonts w:ascii="Gill Sans MT" w:hAnsi="Gill Sans MT" w:cs="Arial"/>
          <w:sz w:val="24"/>
          <w:szCs w:val="24"/>
        </w:rPr>
        <w:t xml:space="preserve">73 </w:t>
      </w:r>
      <w:r w:rsidRPr="0083096F">
        <w:rPr>
          <w:rFonts w:ascii="Gill Sans MT" w:hAnsi="Gill Sans MT" w:cs="Arial"/>
          <w:sz w:val="24"/>
          <w:szCs w:val="24"/>
        </w:rPr>
        <w:t>EGMs are currently located within Banyule Hotels, while 2</w:t>
      </w:r>
      <w:r w:rsidR="00E90CC1" w:rsidRPr="0083096F">
        <w:rPr>
          <w:rFonts w:ascii="Gill Sans MT" w:hAnsi="Gill Sans MT" w:cs="Arial"/>
          <w:sz w:val="24"/>
          <w:szCs w:val="24"/>
        </w:rPr>
        <w:t>62</w:t>
      </w:r>
      <w:r w:rsidRPr="0083096F">
        <w:rPr>
          <w:rFonts w:ascii="Gill Sans MT" w:hAnsi="Gill Sans MT" w:cs="Arial"/>
          <w:sz w:val="24"/>
          <w:szCs w:val="24"/>
        </w:rPr>
        <w:t xml:space="preserve"> EGMs are operated by Clubs. 7</w:t>
      </w:r>
      <w:r w:rsidR="00E90CC1" w:rsidRPr="0083096F">
        <w:rPr>
          <w:rFonts w:ascii="Gill Sans MT" w:hAnsi="Gill Sans MT" w:cs="Arial"/>
          <w:sz w:val="24"/>
          <w:szCs w:val="24"/>
        </w:rPr>
        <w:t>4.</w:t>
      </w:r>
      <w:r w:rsidRPr="0083096F">
        <w:rPr>
          <w:rFonts w:ascii="Gill Sans MT" w:hAnsi="Gill Sans MT" w:cs="Arial"/>
          <w:sz w:val="24"/>
          <w:szCs w:val="24"/>
        </w:rPr>
        <w:t xml:space="preserve">5% </w:t>
      </w:r>
      <w:r w:rsidR="00397FEA" w:rsidRPr="0083096F">
        <w:rPr>
          <w:rFonts w:ascii="Gill Sans MT" w:hAnsi="Gill Sans MT" w:cs="Arial"/>
          <w:sz w:val="24"/>
          <w:szCs w:val="24"/>
        </w:rPr>
        <w:t>(</w:t>
      </w:r>
      <w:r w:rsidRPr="0083096F">
        <w:rPr>
          <w:rFonts w:ascii="Gill Sans MT" w:hAnsi="Gill Sans MT" w:cs="Arial"/>
          <w:sz w:val="24"/>
          <w:szCs w:val="24"/>
        </w:rPr>
        <w:t>or $41</w:t>
      </w:r>
      <w:r w:rsidR="00E90CC1" w:rsidRPr="0083096F">
        <w:rPr>
          <w:rFonts w:ascii="Gill Sans MT" w:hAnsi="Gill Sans MT" w:cs="Arial"/>
          <w:sz w:val="24"/>
          <w:szCs w:val="24"/>
        </w:rPr>
        <w:t>.5</w:t>
      </w:r>
      <w:r w:rsidRPr="0083096F">
        <w:rPr>
          <w:rFonts w:ascii="Gill Sans MT" w:hAnsi="Gill Sans MT" w:cs="Arial"/>
          <w:sz w:val="24"/>
          <w:szCs w:val="24"/>
        </w:rPr>
        <w:t xml:space="preserve"> million) of the $5</w:t>
      </w:r>
      <w:r w:rsidR="00E90CC1" w:rsidRPr="0083096F">
        <w:rPr>
          <w:rFonts w:ascii="Gill Sans MT" w:hAnsi="Gill Sans MT" w:cs="Arial"/>
          <w:sz w:val="24"/>
          <w:szCs w:val="24"/>
        </w:rPr>
        <w:t>6</w:t>
      </w:r>
      <w:r w:rsidRPr="0083096F">
        <w:rPr>
          <w:rFonts w:ascii="Gill Sans MT" w:hAnsi="Gill Sans MT" w:cs="Arial"/>
          <w:sz w:val="24"/>
          <w:szCs w:val="24"/>
        </w:rPr>
        <w:t xml:space="preserve"> million expended on electronic gaming in Banyule in 201</w:t>
      </w:r>
      <w:r w:rsidR="00E90CC1" w:rsidRPr="0083096F">
        <w:rPr>
          <w:rFonts w:ascii="Gill Sans MT" w:hAnsi="Gill Sans MT" w:cs="Arial"/>
          <w:sz w:val="24"/>
          <w:szCs w:val="24"/>
        </w:rPr>
        <w:t>6</w:t>
      </w:r>
      <w:r w:rsidRPr="0083096F">
        <w:rPr>
          <w:rFonts w:ascii="Gill Sans MT" w:hAnsi="Gill Sans MT" w:cs="Arial"/>
          <w:sz w:val="24"/>
          <w:szCs w:val="24"/>
        </w:rPr>
        <w:t>/1</w:t>
      </w:r>
      <w:r w:rsidR="00E90CC1" w:rsidRPr="0083096F">
        <w:rPr>
          <w:rFonts w:ascii="Gill Sans MT" w:hAnsi="Gill Sans MT" w:cs="Arial"/>
          <w:sz w:val="24"/>
          <w:szCs w:val="24"/>
        </w:rPr>
        <w:t>7</w:t>
      </w:r>
      <w:r w:rsidRPr="0083096F">
        <w:rPr>
          <w:rFonts w:ascii="Gill Sans MT" w:hAnsi="Gill Sans MT" w:cs="Arial"/>
          <w:sz w:val="24"/>
          <w:szCs w:val="24"/>
        </w:rPr>
        <w:t xml:space="preserve"> was at hotels.</w:t>
      </w:r>
    </w:p>
    <w:p w:rsidR="004069C7" w:rsidRPr="0083096F" w:rsidRDefault="004069C7" w:rsidP="004069C7">
      <w:pPr>
        <w:rPr>
          <w:rFonts w:ascii="Gill Sans MT" w:hAnsi="Gill Sans MT" w:cs="Arial"/>
        </w:rPr>
      </w:pPr>
    </w:p>
    <w:p w:rsidR="006708FF" w:rsidRDefault="006708FF" w:rsidP="004069C7">
      <w:pPr>
        <w:rPr>
          <w:rFonts w:ascii="Gill Sans MT" w:hAnsi="Gill Sans MT" w:cs="Arial"/>
        </w:rPr>
      </w:pPr>
    </w:p>
    <w:p w:rsidR="0083096F" w:rsidRDefault="0083096F" w:rsidP="004069C7">
      <w:pPr>
        <w:rPr>
          <w:rFonts w:ascii="Gill Sans MT" w:hAnsi="Gill Sans MT" w:cs="Arial"/>
        </w:rPr>
      </w:pPr>
    </w:p>
    <w:p w:rsidR="0083096F" w:rsidRDefault="0083096F" w:rsidP="004069C7">
      <w:pPr>
        <w:rPr>
          <w:rFonts w:ascii="Gill Sans MT" w:hAnsi="Gill Sans MT" w:cs="Arial"/>
        </w:rPr>
      </w:pPr>
    </w:p>
    <w:p w:rsidR="0083096F" w:rsidRDefault="0083096F" w:rsidP="004069C7">
      <w:pPr>
        <w:rPr>
          <w:rFonts w:ascii="Gill Sans MT" w:hAnsi="Gill Sans MT" w:cs="Arial"/>
        </w:rPr>
      </w:pPr>
    </w:p>
    <w:p w:rsidR="0083096F" w:rsidRDefault="0083096F" w:rsidP="004069C7">
      <w:pPr>
        <w:rPr>
          <w:rFonts w:ascii="Gill Sans MT" w:hAnsi="Gill Sans MT" w:cs="Arial"/>
        </w:rPr>
      </w:pPr>
    </w:p>
    <w:p w:rsidR="0083096F" w:rsidRDefault="0083096F" w:rsidP="004069C7">
      <w:pPr>
        <w:rPr>
          <w:rFonts w:ascii="Gill Sans MT" w:hAnsi="Gill Sans MT" w:cs="Arial"/>
        </w:rPr>
      </w:pPr>
    </w:p>
    <w:p w:rsidR="0083096F" w:rsidRPr="0083096F" w:rsidRDefault="0083096F" w:rsidP="004069C7">
      <w:pPr>
        <w:rPr>
          <w:rFonts w:ascii="Gill Sans MT" w:hAnsi="Gill Sans MT" w:cs="Arial"/>
        </w:rPr>
      </w:pPr>
    </w:p>
    <w:p w:rsidR="00986011" w:rsidRPr="0083096F" w:rsidRDefault="00986011" w:rsidP="004069C7">
      <w:pPr>
        <w:rPr>
          <w:rFonts w:ascii="Gill Sans MT" w:hAnsi="Gill Sans MT" w:cs="Arial"/>
        </w:rPr>
      </w:pPr>
    </w:p>
    <w:p w:rsidR="0090593E" w:rsidRDefault="00E24DDE" w:rsidP="00302185">
      <w:pPr>
        <w:pStyle w:val="Heading1"/>
        <w:spacing w:before="120"/>
        <w:rPr>
          <w:rFonts w:ascii="Gill Sans MT" w:hAnsi="Gill Sans MT"/>
          <w:color w:val="262626" w:themeColor="text1" w:themeTint="D9"/>
        </w:rPr>
      </w:pPr>
      <w:bookmarkStart w:id="11" w:name="_Toc504143040"/>
      <w:r w:rsidRPr="0083096F">
        <w:rPr>
          <w:rFonts w:ascii="Gill Sans MT" w:hAnsi="Gill Sans MT"/>
          <w:color w:val="262626" w:themeColor="text1" w:themeTint="D9"/>
        </w:rPr>
        <w:lastRenderedPageBreak/>
        <w:t>Table O</w:t>
      </w:r>
      <w:r w:rsidR="004069C7" w:rsidRPr="0083096F">
        <w:rPr>
          <w:rFonts w:ascii="Gill Sans MT" w:hAnsi="Gill Sans MT"/>
          <w:color w:val="262626" w:themeColor="text1" w:themeTint="D9"/>
        </w:rPr>
        <w:t>ne—</w:t>
      </w:r>
      <w:r w:rsidR="008809C3" w:rsidRPr="0083096F">
        <w:rPr>
          <w:rFonts w:ascii="Gill Sans MT" w:hAnsi="Gill Sans MT"/>
          <w:color w:val="262626" w:themeColor="text1" w:themeTint="D9"/>
        </w:rPr>
        <w:t xml:space="preserve">EGM </w:t>
      </w:r>
      <w:r w:rsidR="00330BE4" w:rsidRPr="0083096F">
        <w:rPr>
          <w:rFonts w:ascii="Gill Sans MT" w:hAnsi="Gill Sans MT"/>
          <w:color w:val="262626" w:themeColor="text1" w:themeTint="D9"/>
        </w:rPr>
        <w:t>V</w:t>
      </w:r>
      <w:r w:rsidR="008809C3" w:rsidRPr="0083096F">
        <w:rPr>
          <w:rFonts w:ascii="Gill Sans MT" w:hAnsi="Gill Sans MT"/>
          <w:color w:val="262626" w:themeColor="text1" w:themeTint="D9"/>
        </w:rPr>
        <w:t>enues in Banyule</w:t>
      </w:r>
      <w:r w:rsidR="004069C7" w:rsidRPr="0083096F">
        <w:rPr>
          <w:rFonts w:ascii="Gill Sans MT" w:hAnsi="Gill Sans MT"/>
          <w:color w:val="262626" w:themeColor="text1" w:themeTint="D9"/>
        </w:rPr>
        <w:t xml:space="preserve">, by </w:t>
      </w:r>
      <w:r w:rsidR="007860D1" w:rsidRPr="0083096F">
        <w:rPr>
          <w:rFonts w:ascii="Gill Sans MT" w:hAnsi="Gill Sans MT"/>
          <w:color w:val="262626" w:themeColor="text1" w:themeTint="D9"/>
        </w:rPr>
        <w:t>A</w:t>
      </w:r>
      <w:r w:rsidR="004069C7" w:rsidRPr="0083096F">
        <w:rPr>
          <w:rFonts w:ascii="Gill Sans MT" w:hAnsi="Gill Sans MT"/>
          <w:color w:val="262626" w:themeColor="text1" w:themeTint="D9"/>
        </w:rPr>
        <w:t xml:space="preserve">llocation </w:t>
      </w:r>
      <w:r w:rsidR="007860D1" w:rsidRPr="0083096F">
        <w:rPr>
          <w:rFonts w:ascii="Gill Sans MT" w:hAnsi="Gill Sans MT"/>
          <w:color w:val="262626" w:themeColor="text1" w:themeTint="D9"/>
        </w:rPr>
        <w:t>&amp; R</w:t>
      </w:r>
      <w:r w:rsidR="004069C7" w:rsidRPr="0083096F">
        <w:rPr>
          <w:rFonts w:ascii="Gill Sans MT" w:hAnsi="Gill Sans MT"/>
          <w:color w:val="262626" w:themeColor="text1" w:themeTint="D9"/>
        </w:rPr>
        <w:t xml:space="preserve">eported </w:t>
      </w:r>
      <w:r w:rsidR="007860D1" w:rsidRPr="0083096F">
        <w:rPr>
          <w:rFonts w:ascii="Gill Sans MT" w:hAnsi="Gill Sans MT"/>
          <w:color w:val="262626" w:themeColor="text1" w:themeTint="D9"/>
        </w:rPr>
        <w:t>L</w:t>
      </w:r>
      <w:r w:rsidR="008809C3" w:rsidRPr="0083096F">
        <w:rPr>
          <w:rFonts w:ascii="Gill Sans MT" w:hAnsi="Gill Sans MT"/>
          <w:color w:val="262626" w:themeColor="text1" w:themeTint="D9"/>
        </w:rPr>
        <w:t>osses</w:t>
      </w:r>
      <w:bookmarkEnd w:id="11"/>
    </w:p>
    <w:p w:rsidR="0083096F" w:rsidRPr="0083096F" w:rsidRDefault="0083096F" w:rsidP="0083096F"/>
    <w:tbl>
      <w:tblPr>
        <w:tblW w:w="10910" w:type="dxa"/>
        <w:tblCellSpacing w:w="0" w:type="dxa"/>
        <w:tblInd w:w="-945" w:type="dxa"/>
        <w:tblCellMar>
          <w:top w:w="30" w:type="dxa"/>
          <w:left w:w="30" w:type="dxa"/>
          <w:bottom w:w="30" w:type="dxa"/>
          <w:right w:w="30" w:type="dxa"/>
        </w:tblCellMar>
        <w:tblLook w:val="04A0" w:firstRow="1" w:lastRow="0" w:firstColumn="1" w:lastColumn="0" w:noHBand="0" w:noVBand="1"/>
      </w:tblPr>
      <w:tblGrid>
        <w:gridCol w:w="261"/>
        <w:gridCol w:w="1971"/>
        <w:gridCol w:w="3076"/>
        <w:gridCol w:w="1270"/>
        <w:gridCol w:w="1118"/>
        <w:gridCol w:w="981"/>
        <w:gridCol w:w="2233"/>
      </w:tblGrid>
      <w:tr w:rsidR="00D061CC" w:rsidRPr="0083096F" w:rsidTr="00D061CC">
        <w:trPr>
          <w:tblCellSpacing w:w="0" w:type="dxa"/>
        </w:trPr>
        <w:tc>
          <w:tcPr>
            <w:tcW w:w="0" w:type="auto"/>
            <w:vAlign w:val="center"/>
            <w:hideMark/>
          </w:tcPr>
          <w:p w:rsidR="00D061CC" w:rsidRPr="0083096F" w:rsidRDefault="007565DD" w:rsidP="006708FF">
            <w:pPr>
              <w:spacing w:after="160" w:line="259" w:lineRule="auto"/>
              <w:jc w:val="center"/>
              <w:rPr>
                <w:rFonts w:ascii="Gill Sans MT" w:hAnsi="Gill Sans MT"/>
                <w:sz w:val="20"/>
                <w:szCs w:val="20"/>
              </w:rPr>
            </w:pPr>
            <w:r w:rsidRPr="0083096F">
              <w:rPr>
                <w:rFonts w:ascii="Gill Sans MT" w:hAnsi="Gill Sans MT" w:cs="Arial"/>
                <w:b/>
                <w:sz w:val="20"/>
                <w:szCs w:val="20"/>
              </w:rPr>
              <w:t xml:space="preserve"> </w:t>
            </w:r>
            <w:r w:rsidR="00CB18F5" w:rsidRPr="0083096F">
              <w:rPr>
                <w:rFonts w:ascii="Gill Sans MT" w:hAnsi="Gill Sans MT" w:cs="Arial"/>
                <w:b/>
                <w:sz w:val="20"/>
                <w:szCs w:val="20"/>
              </w:rPr>
              <w:t xml:space="preserve"> </w:t>
            </w:r>
          </w:p>
        </w:tc>
        <w:tc>
          <w:tcPr>
            <w:tcW w:w="1978" w:type="dxa"/>
            <w:vAlign w:val="center"/>
            <w:hideMark/>
          </w:tcPr>
          <w:p w:rsidR="00D061CC" w:rsidRPr="0083096F" w:rsidRDefault="00D061CC" w:rsidP="00777701">
            <w:pPr>
              <w:spacing w:after="160" w:line="259" w:lineRule="auto"/>
              <w:jc w:val="center"/>
              <w:rPr>
                <w:rFonts w:ascii="Gill Sans MT" w:hAnsi="Gill Sans MT"/>
                <w:b/>
                <w:bCs/>
                <w:sz w:val="20"/>
                <w:szCs w:val="20"/>
              </w:rPr>
            </w:pPr>
            <w:r w:rsidRPr="0083096F">
              <w:rPr>
                <w:rFonts w:ascii="Gill Sans MT" w:hAnsi="Gill Sans MT"/>
                <w:b/>
                <w:bCs/>
                <w:sz w:val="20"/>
                <w:szCs w:val="20"/>
              </w:rPr>
              <w:t>Venue</w:t>
            </w:r>
          </w:p>
        </w:tc>
        <w:tc>
          <w:tcPr>
            <w:tcW w:w="3120" w:type="dxa"/>
            <w:vAlign w:val="center"/>
            <w:hideMark/>
          </w:tcPr>
          <w:p w:rsidR="00D061CC" w:rsidRPr="0083096F" w:rsidRDefault="00D061CC" w:rsidP="006708FF">
            <w:pPr>
              <w:spacing w:after="160" w:line="259" w:lineRule="auto"/>
              <w:jc w:val="center"/>
              <w:rPr>
                <w:rFonts w:ascii="Gill Sans MT" w:hAnsi="Gill Sans MT"/>
                <w:b/>
                <w:bCs/>
                <w:sz w:val="20"/>
                <w:szCs w:val="20"/>
              </w:rPr>
            </w:pPr>
            <w:r w:rsidRPr="0083096F">
              <w:rPr>
                <w:rFonts w:ascii="Gill Sans MT" w:hAnsi="Gill Sans MT"/>
                <w:b/>
                <w:bCs/>
                <w:sz w:val="20"/>
                <w:szCs w:val="20"/>
              </w:rPr>
              <w:t>Address</w:t>
            </w:r>
          </w:p>
        </w:tc>
        <w:tc>
          <w:tcPr>
            <w:tcW w:w="1143" w:type="dxa"/>
            <w:vAlign w:val="center"/>
            <w:hideMark/>
          </w:tcPr>
          <w:p w:rsidR="00D061CC" w:rsidRPr="0083096F" w:rsidRDefault="00D061CC" w:rsidP="006708FF">
            <w:pPr>
              <w:spacing w:after="160" w:line="259" w:lineRule="auto"/>
              <w:jc w:val="center"/>
              <w:rPr>
                <w:rFonts w:ascii="Gill Sans MT" w:hAnsi="Gill Sans MT"/>
                <w:b/>
                <w:bCs/>
                <w:sz w:val="20"/>
                <w:szCs w:val="20"/>
              </w:rPr>
            </w:pPr>
            <w:r w:rsidRPr="0083096F">
              <w:rPr>
                <w:rFonts w:ascii="Gill Sans MT" w:hAnsi="Gill Sans MT"/>
                <w:b/>
                <w:bCs/>
                <w:sz w:val="20"/>
                <w:szCs w:val="20"/>
              </w:rPr>
              <w:t>Attached Entitlements</w:t>
            </w:r>
          </w:p>
        </w:tc>
        <w:tc>
          <w:tcPr>
            <w:tcW w:w="1126" w:type="dxa"/>
            <w:vAlign w:val="center"/>
            <w:hideMark/>
          </w:tcPr>
          <w:p w:rsidR="00D061CC" w:rsidRPr="0083096F" w:rsidRDefault="00D061CC" w:rsidP="006708FF">
            <w:pPr>
              <w:spacing w:after="160" w:line="259" w:lineRule="auto"/>
              <w:jc w:val="center"/>
              <w:rPr>
                <w:rFonts w:ascii="Gill Sans MT" w:hAnsi="Gill Sans MT"/>
                <w:b/>
                <w:bCs/>
                <w:sz w:val="20"/>
                <w:szCs w:val="20"/>
              </w:rPr>
            </w:pPr>
            <w:r w:rsidRPr="0083096F">
              <w:rPr>
                <w:rFonts w:ascii="Gill Sans MT" w:hAnsi="Gill Sans MT"/>
                <w:b/>
                <w:bCs/>
                <w:sz w:val="20"/>
                <w:szCs w:val="20"/>
              </w:rPr>
              <w:t>Licensed EGM's</w:t>
            </w:r>
          </w:p>
        </w:tc>
        <w:tc>
          <w:tcPr>
            <w:tcW w:w="992" w:type="dxa"/>
            <w:vAlign w:val="center"/>
            <w:hideMark/>
          </w:tcPr>
          <w:p w:rsidR="00D061CC" w:rsidRPr="0083096F" w:rsidRDefault="00D061CC" w:rsidP="006708FF">
            <w:pPr>
              <w:spacing w:after="160" w:line="259" w:lineRule="auto"/>
              <w:jc w:val="center"/>
              <w:rPr>
                <w:rFonts w:ascii="Gill Sans MT" w:hAnsi="Gill Sans MT"/>
                <w:b/>
                <w:bCs/>
                <w:sz w:val="20"/>
                <w:szCs w:val="20"/>
              </w:rPr>
            </w:pPr>
            <w:r w:rsidRPr="0083096F">
              <w:rPr>
                <w:rFonts w:ascii="Gill Sans MT" w:hAnsi="Gill Sans MT"/>
                <w:b/>
                <w:bCs/>
                <w:sz w:val="20"/>
                <w:szCs w:val="20"/>
              </w:rPr>
              <w:t>Venue Type</w:t>
            </w:r>
          </w:p>
        </w:tc>
        <w:tc>
          <w:tcPr>
            <w:tcW w:w="2268" w:type="dxa"/>
            <w:vAlign w:val="center"/>
            <w:hideMark/>
          </w:tcPr>
          <w:p w:rsidR="00D061CC" w:rsidRPr="0083096F" w:rsidRDefault="00D061CC" w:rsidP="006708FF">
            <w:pPr>
              <w:spacing w:after="160" w:line="259" w:lineRule="auto"/>
              <w:jc w:val="center"/>
              <w:rPr>
                <w:rFonts w:ascii="Gill Sans MT" w:hAnsi="Gill Sans MT"/>
                <w:b/>
                <w:bCs/>
                <w:sz w:val="20"/>
                <w:szCs w:val="20"/>
              </w:rPr>
            </w:pPr>
            <w:r w:rsidRPr="0083096F">
              <w:rPr>
                <w:rFonts w:ascii="Gill Sans MT" w:hAnsi="Gill Sans MT"/>
                <w:b/>
                <w:bCs/>
                <w:sz w:val="20"/>
                <w:szCs w:val="20"/>
              </w:rPr>
              <w:t>Expenditure</w:t>
            </w:r>
            <w:r w:rsidRPr="0083096F">
              <w:rPr>
                <w:rFonts w:ascii="Gill Sans MT" w:hAnsi="Gill Sans MT"/>
                <w:b/>
                <w:bCs/>
                <w:sz w:val="20"/>
                <w:szCs w:val="20"/>
              </w:rPr>
              <w:br/>
              <w:t>(July 2016 - Jun 2017)</w:t>
            </w:r>
          </w:p>
        </w:tc>
      </w:tr>
      <w:tr w:rsidR="00D061CC" w:rsidRPr="0083096F" w:rsidTr="00D061CC">
        <w:trPr>
          <w:tblCellSpacing w:w="0" w:type="dxa"/>
        </w:trPr>
        <w:tc>
          <w:tcPr>
            <w:tcW w:w="0" w:type="auto"/>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1</w:t>
            </w:r>
          </w:p>
        </w:tc>
        <w:tc>
          <w:tcPr>
            <w:tcW w:w="1978" w:type="dxa"/>
            <w:hideMark/>
          </w:tcPr>
          <w:p w:rsidR="00D061CC" w:rsidRPr="0083096F" w:rsidRDefault="008621E7" w:rsidP="00777701">
            <w:pPr>
              <w:spacing w:after="160" w:line="259" w:lineRule="auto"/>
              <w:jc w:val="center"/>
              <w:rPr>
                <w:rFonts w:ascii="Gill Sans MT" w:hAnsi="Gill Sans MT"/>
                <w:sz w:val="20"/>
                <w:szCs w:val="20"/>
              </w:rPr>
            </w:pPr>
            <w:hyperlink r:id="rId9" w:history="1">
              <w:r w:rsidR="00D061CC" w:rsidRPr="0083096F">
                <w:rPr>
                  <w:rStyle w:val="Hyperlink"/>
                  <w:rFonts w:ascii="Gill Sans MT" w:hAnsi="Gill Sans MT"/>
                  <w:sz w:val="20"/>
                  <w:szCs w:val="20"/>
                </w:rPr>
                <w:t>BUNDOORA BOWLING CLUB</w:t>
              </w:r>
            </w:hyperlink>
          </w:p>
        </w:tc>
        <w:tc>
          <w:tcPr>
            <w:tcW w:w="3120" w:type="dxa"/>
            <w:hideMark/>
          </w:tcPr>
          <w:p w:rsidR="00D061CC" w:rsidRPr="0083096F" w:rsidRDefault="00D061CC" w:rsidP="006708FF">
            <w:pPr>
              <w:rPr>
                <w:rFonts w:ascii="Gill Sans MT" w:hAnsi="Gill Sans MT"/>
                <w:sz w:val="20"/>
                <w:szCs w:val="20"/>
              </w:rPr>
            </w:pPr>
            <w:r w:rsidRPr="0083096F">
              <w:rPr>
                <w:rFonts w:ascii="Gill Sans MT" w:hAnsi="Gill Sans MT"/>
                <w:sz w:val="20"/>
                <w:szCs w:val="20"/>
              </w:rPr>
              <w:t>YULONG RESERVE, CAMERON PARADE BUNDOORA</w:t>
            </w:r>
          </w:p>
        </w:tc>
        <w:tc>
          <w:tcPr>
            <w:tcW w:w="1143"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0</w:t>
            </w:r>
          </w:p>
        </w:tc>
        <w:tc>
          <w:tcPr>
            <w:tcW w:w="1126"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20</w:t>
            </w:r>
          </w:p>
        </w:tc>
        <w:tc>
          <w:tcPr>
            <w:tcW w:w="992"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Club</w:t>
            </w:r>
          </w:p>
        </w:tc>
        <w:tc>
          <w:tcPr>
            <w:tcW w:w="2268"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$ 259,563.66</w:t>
            </w:r>
          </w:p>
        </w:tc>
      </w:tr>
      <w:tr w:rsidR="00D061CC" w:rsidRPr="0083096F" w:rsidTr="00D061CC">
        <w:trPr>
          <w:tblCellSpacing w:w="0" w:type="dxa"/>
        </w:trPr>
        <w:tc>
          <w:tcPr>
            <w:tcW w:w="0" w:type="auto"/>
            <w:shd w:val="clear" w:color="auto" w:fill="EFEFEF"/>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2</w:t>
            </w:r>
          </w:p>
        </w:tc>
        <w:tc>
          <w:tcPr>
            <w:tcW w:w="1978" w:type="dxa"/>
            <w:shd w:val="clear" w:color="auto" w:fill="EFEFEF"/>
            <w:hideMark/>
          </w:tcPr>
          <w:p w:rsidR="00D061CC" w:rsidRPr="0083096F" w:rsidRDefault="008621E7" w:rsidP="00777701">
            <w:pPr>
              <w:spacing w:after="160" w:line="259" w:lineRule="auto"/>
              <w:jc w:val="center"/>
              <w:rPr>
                <w:rFonts w:ascii="Gill Sans MT" w:hAnsi="Gill Sans MT"/>
                <w:sz w:val="20"/>
                <w:szCs w:val="20"/>
              </w:rPr>
            </w:pPr>
            <w:hyperlink r:id="rId10" w:history="1">
              <w:r w:rsidR="00D061CC" w:rsidRPr="0083096F">
                <w:rPr>
                  <w:rStyle w:val="Hyperlink"/>
                  <w:rFonts w:ascii="Gill Sans MT" w:hAnsi="Gill Sans MT"/>
                  <w:sz w:val="20"/>
                  <w:szCs w:val="20"/>
                </w:rPr>
                <w:t>GREENSBOROUGH HOTEL</w:t>
              </w:r>
            </w:hyperlink>
          </w:p>
        </w:tc>
        <w:tc>
          <w:tcPr>
            <w:tcW w:w="3120" w:type="dxa"/>
            <w:shd w:val="clear" w:color="auto" w:fill="EFEFEF"/>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75 MAIN STREET</w:t>
            </w:r>
            <w:r w:rsidRPr="0083096F">
              <w:rPr>
                <w:rFonts w:ascii="Gill Sans MT" w:hAnsi="Gill Sans MT"/>
                <w:sz w:val="20"/>
                <w:szCs w:val="20"/>
              </w:rPr>
              <w:br/>
              <w:t>GREENSBOROUGH VIC</w:t>
            </w:r>
          </w:p>
        </w:tc>
        <w:tc>
          <w:tcPr>
            <w:tcW w:w="1143"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30</w:t>
            </w:r>
          </w:p>
        </w:tc>
        <w:tc>
          <w:tcPr>
            <w:tcW w:w="1126"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30</w:t>
            </w:r>
          </w:p>
        </w:tc>
        <w:tc>
          <w:tcPr>
            <w:tcW w:w="992"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Hotel</w:t>
            </w:r>
          </w:p>
        </w:tc>
        <w:tc>
          <w:tcPr>
            <w:tcW w:w="2268"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$ 3,125,578.03</w:t>
            </w:r>
          </w:p>
        </w:tc>
      </w:tr>
      <w:tr w:rsidR="00D061CC" w:rsidRPr="0083096F" w:rsidTr="00D061CC">
        <w:trPr>
          <w:tblCellSpacing w:w="0" w:type="dxa"/>
        </w:trPr>
        <w:tc>
          <w:tcPr>
            <w:tcW w:w="0" w:type="auto"/>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3</w:t>
            </w:r>
          </w:p>
        </w:tc>
        <w:tc>
          <w:tcPr>
            <w:tcW w:w="1978" w:type="dxa"/>
            <w:hideMark/>
          </w:tcPr>
          <w:p w:rsidR="00D061CC" w:rsidRPr="0083096F" w:rsidRDefault="008621E7" w:rsidP="00777701">
            <w:pPr>
              <w:spacing w:after="160" w:line="259" w:lineRule="auto"/>
              <w:jc w:val="center"/>
              <w:rPr>
                <w:rFonts w:ascii="Gill Sans MT" w:hAnsi="Gill Sans MT"/>
                <w:sz w:val="20"/>
                <w:szCs w:val="20"/>
              </w:rPr>
            </w:pPr>
            <w:hyperlink r:id="rId11" w:history="1">
              <w:r w:rsidR="00D061CC" w:rsidRPr="0083096F">
                <w:rPr>
                  <w:rStyle w:val="Hyperlink"/>
                  <w:rFonts w:ascii="Gill Sans MT" w:hAnsi="Gill Sans MT"/>
                  <w:sz w:val="20"/>
                  <w:szCs w:val="20"/>
                </w:rPr>
                <w:t>GREENSBOROUGH RSL</w:t>
              </w:r>
            </w:hyperlink>
          </w:p>
        </w:tc>
        <w:tc>
          <w:tcPr>
            <w:tcW w:w="3120" w:type="dxa"/>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111 MAIN STREET</w:t>
            </w:r>
            <w:r w:rsidRPr="0083096F">
              <w:rPr>
                <w:rFonts w:ascii="Gill Sans MT" w:hAnsi="Gill Sans MT"/>
                <w:sz w:val="20"/>
                <w:szCs w:val="20"/>
              </w:rPr>
              <w:br/>
              <w:t>GREENSBOROUGH VIC</w:t>
            </w:r>
          </w:p>
        </w:tc>
        <w:tc>
          <w:tcPr>
            <w:tcW w:w="1143"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78</w:t>
            </w:r>
          </w:p>
        </w:tc>
        <w:tc>
          <w:tcPr>
            <w:tcW w:w="1126"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78</w:t>
            </w:r>
          </w:p>
        </w:tc>
        <w:tc>
          <w:tcPr>
            <w:tcW w:w="992"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Club</w:t>
            </w:r>
          </w:p>
        </w:tc>
        <w:tc>
          <w:tcPr>
            <w:tcW w:w="2268"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$ 4,312,241.43</w:t>
            </w:r>
          </w:p>
        </w:tc>
      </w:tr>
      <w:tr w:rsidR="00D061CC" w:rsidRPr="0083096F" w:rsidTr="00D061CC">
        <w:trPr>
          <w:tblCellSpacing w:w="0" w:type="dxa"/>
        </w:trPr>
        <w:tc>
          <w:tcPr>
            <w:tcW w:w="0" w:type="auto"/>
            <w:shd w:val="clear" w:color="auto" w:fill="EFEFEF"/>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4</w:t>
            </w:r>
          </w:p>
        </w:tc>
        <w:tc>
          <w:tcPr>
            <w:tcW w:w="1978" w:type="dxa"/>
            <w:shd w:val="clear" w:color="auto" w:fill="EFEFEF"/>
            <w:hideMark/>
          </w:tcPr>
          <w:p w:rsidR="00D061CC" w:rsidRPr="0083096F" w:rsidRDefault="008621E7" w:rsidP="00777701">
            <w:pPr>
              <w:spacing w:after="160" w:line="259" w:lineRule="auto"/>
              <w:jc w:val="center"/>
              <w:rPr>
                <w:rFonts w:ascii="Gill Sans MT" w:hAnsi="Gill Sans MT"/>
                <w:sz w:val="20"/>
                <w:szCs w:val="20"/>
              </w:rPr>
            </w:pPr>
            <w:hyperlink r:id="rId12" w:history="1">
              <w:r w:rsidR="00D061CC" w:rsidRPr="0083096F">
                <w:rPr>
                  <w:rStyle w:val="Hyperlink"/>
                  <w:rFonts w:ascii="Gill Sans MT" w:hAnsi="Gill Sans MT"/>
                  <w:sz w:val="20"/>
                  <w:szCs w:val="20"/>
                </w:rPr>
                <w:t>IVANHOE HOTEL</w:t>
              </w:r>
            </w:hyperlink>
          </w:p>
        </w:tc>
        <w:tc>
          <w:tcPr>
            <w:tcW w:w="3120" w:type="dxa"/>
            <w:shd w:val="clear" w:color="auto" w:fill="EFEFEF"/>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120 UPPER HEIDELBERG ROAD</w:t>
            </w:r>
            <w:r w:rsidRPr="0083096F">
              <w:rPr>
                <w:rFonts w:ascii="Gill Sans MT" w:hAnsi="Gill Sans MT"/>
                <w:sz w:val="20"/>
                <w:szCs w:val="20"/>
              </w:rPr>
              <w:br/>
              <w:t>IVANHOE VIC</w:t>
            </w:r>
          </w:p>
        </w:tc>
        <w:tc>
          <w:tcPr>
            <w:tcW w:w="1143"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100</w:t>
            </w:r>
          </w:p>
        </w:tc>
        <w:tc>
          <w:tcPr>
            <w:tcW w:w="1126"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100</w:t>
            </w:r>
          </w:p>
        </w:tc>
        <w:tc>
          <w:tcPr>
            <w:tcW w:w="992"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Hotel</w:t>
            </w:r>
          </w:p>
        </w:tc>
        <w:tc>
          <w:tcPr>
            <w:tcW w:w="2268"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$ 9,807,254.50</w:t>
            </w:r>
          </w:p>
        </w:tc>
      </w:tr>
      <w:tr w:rsidR="00D061CC" w:rsidRPr="0083096F" w:rsidTr="00D061CC">
        <w:trPr>
          <w:tblCellSpacing w:w="0" w:type="dxa"/>
        </w:trPr>
        <w:tc>
          <w:tcPr>
            <w:tcW w:w="0" w:type="auto"/>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5</w:t>
            </w:r>
          </w:p>
        </w:tc>
        <w:tc>
          <w:tcPr>
            <w:tcW w:w="1978" w:type="dxa"/>
            <w:hideMark/>
          </w:tcPr>
          <w:p w:rsidR="00D061CC" w:rsidRPr="0083096F" w:rsidRDefault="008621E7" w:rsidP="00777701">
            <w:pPr>
              <w:spacing w:after="160" w:line="259" w:lineRule="auto"/>
              <w:jc w:val="center"/>
              <w:rPr>
                <w:rFonts w:ascii="Gill Sans MT" w:hAnsi="Gill Sans MT"/>
                <w:sz w:val="20"/>
                <w:szCs w:val="20"/>
              </w:rPr>
            </w:pPr>
            <w:hyperlink r:id="rId13" w:history="1">
              <w:r w:rsidR="00D061CC" w:rsidRPr="0083096F">
                <w:rPr>
                  <w:rStyle w:val="Hyperlink"/>
                  <w:rFonts w:ascii="Gill Sans MT" w:hAnsi="Gill Sans MT"/>
                  <w:sz w:val="20"/>
                  <w:szCs w:val="20"/>
                </w:rPr>
                <w:t>LOWER PLENTY HOTEL</w:t>
              </w:r>
            </w:hyperlink>
          </w:p>
        </w:tc>
        <w:tc>
          <w:tcPr>
            <w:tcW w:w="3120" w:type="dxa"/>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2-8 MAIN ROAD</w:t>
            </w:r>
            <w:r w:rsidRPr="0083096F">
              <w:rPr>
                <w:rFonts w:ascii="Gill Sans MT" w:hAnsi="Gill Sans MT"/>
                <w:sz w:val="20"/>
                <w:szCs w:val="20"/>
              </w:rPr>
              <w:br/>
              <w:t>LOWER PLENTY VIC</w:t>
            </w:r>
          </w:p>
        </w:tc>
        <w:tc>
          <w:tcPr>
            <w:tcW w:w="1143"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85</w:t>
            </w:r>
          </w:p>
        </w:tc>
        <w:tc>
          <w:tcPr>
            <w:tcW w:w="1126"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85</w:t>
            </w:r>
          </w:p>
        </w:tc>
        <w:tc>
          <w:tcPr>
            <w:tcW w:w="992"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Hotel</w:t>
            </w:r>
          </w:p>
        </w:tc>
        <w:tc>
          <w:tcPr>
            <w:tcW w:w="2268"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$ 9,462,992.85</w:t>
            </w:r>
          </w:p>
        </w:tc>
      </w:tr>
      <w:tr w:rsidR="00D061CC" w:rsidRPr="0083096F" w:rsidTr="00D061CC">
        <w:trPr>
          <w:tblCellSpacing w:w="0" w:type="dxa"/>
        </w:trPr>
        <w:tc>
          <w:tcPr>
            <w:tcW w:w="0" w:type="auto"/>
            <w:shd w:val="clear" w:color="auto" w:fill="EFEFEF"/>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6</w:t>
            </w:r>
          </w:p>
        </w:tc>
        <w:tc>
          <w:tcPr>
            <w:tcW w:w="1978" w:type="dxa"/>
            <w:shd w:val="clear" w:color="auto" w:fill="EFEFEF"/>
            <w:hideMark/>
          </w:tcPr>
          <w:p w:rsidR="00D061CC" w:rsidRPr="0083096F" w:rsidRDefault="008621E7" w:rsidP="00777701">
            <w:pPr>
              <w:spacing w:after="160" w:line="259" w:lineRule="auto"/>
              <w:jc w:val="center"/>
              <w:rPr>
                <w:rFonts w:ascii="Gill Sans MT" w:hAnsi="Gill Sans MT"/>
                <w:sz w:val="20"/>
                <w:szCs w:val="20"/>
              </w:rPr>
            </w:pPr>
            <w:hyperlink r:id="rId14" w:history="1">
              <w:r w:rsidR="00D061CC" w:rsidRPr="0083096F">
                <w:rPr>
                  <w:rStyle w:val="Hyperlink"/>
                  <w:rFonts w:ascii="Gill Sans MT" w:hAnsi="Gill Sans MT"/>
                  <w:sz w:val="20"/>
                  <w:szCs w:val="20"/>
                </w:rPr>
                <w:t>MONTMORENCY RSL</w:t>
              </w:r>
            </w:hyperlink>
          </w:p>
        </w:tc>
        <w:tc>
          <w:tcPr>
            <w:tcW w:w="3120" w:type="dxa"/>
            <w:shd w:val="clear" w:color="auto" w:fill="EFEFEF"/>
            <w:hideMark/>
          </w:tcPr>
          <w:p w:rsidR="00D061CC" w:rsidRPr="0083096F" w:rsidRDefault="00D061CC" w:rsidP="006708FF">
            <w:pPr>
              <w:rPr>
                <w:rFonts w:ascii="Gill Sans MT" w:hAnsi="Gill Sans MT"/>
                <w:sz w:val="20"/>
                <w:szCs w:val="20"/>
              </w:rPr>
            </w:pPr>
            <w:r w:rsidRPr="0083096F">
              <w:rPr>
                <w:rFonts w:ascii="Gill Sans MT" w:hAnsi="Gill Sans MT"/>
                <w:sz w:val="20"/>
                <w:szCs w:val="20"/>
              </w:rPr>
              <w:t>PETRIE PARK, 16 MOUNTAIN VIEW ROAD MONTMORENCY VIC</w:t>
            </w:r>
          </w:p>
        </w:tc>
        <w:tc>
          <w:tcPr>
            <w:tcW w:w="1143"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50</w:t>
            </w:r>
          </w:p>
        </w:tc>
        <w:tc>
          <w:tcPr>
            <w:tcW w:w="1126"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50</w:t>
            </w:r>
          </w:p>
        </w:tc>
        <w:tc>
          <w:tcPr>
            <w:tcW w:w="992"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Club</w:t>
            </w:r>
          </w:p>
        </w:tc>
        <w:tc>
          <w:tcPr>
            <w:tcW w:w="2268"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$ 1,640,503.92</w:t>
            </w:r>
          </w:p>
        </w:tc>
      </w:tr>
      <w:tr w:rsidR="00D061CC" w:rsidRPr="0083096F" w:rsidTr="00D061CC">
        <w:trPr>
          <w:tblCellSpacing w:w="0" w:type="dxa"/>
        </w:trPr>
        <w:tc>
          <w:tcPr>
            <w:tcW w:w="0" w:type="auto"/>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7</w:t>
            </w:r>
          </w:p>
        </w:tc>
        <w:tc>
          <w:tcPr>
            <w:tcW w:w="1978" w:type="dxa"/>
            <w:hideMark/>
          </w:tcPr>
          <w:p w:rsidR="00D061CC" w:rsidRPr="0083096F" w:rsidRDefault="008621E7" w:rsidP="00777701">
            <w:pPr>
              <w:spacing w:after="160" w:line="259" w:lineRule="auto"/>
              <w:jc w:val="center"/>
              <w:rPr>
                <w:rFonts w:ascii="Gill Sans MT" w:hAnsi="Gill Sans MT"/>
                <w:sz w:val="20"/>
                <w:szCs w:val="20"/>
              </w:rPr>
            </w:pPr>
            <w:hyperlink r:id="rId15" w:history="1">
              <w:r w:rsidR="00D061CC" w:rsidRPr="0083096F">
                <w:rPr>
                  <w:rStyle w:val="Hyperlink"/>
                  <w:rFonts w:ascii="Gill Sans MT" w:hAnsi="Gill Sans MT"/>
                  <w:sz w:val="20"/>
                  <w:szCs w:val="20"/>
                </w:rPr>
                <w:t>OLD ENGLAND HOTEL</w:t>
              </w:r>
            </w:hyperlink>
          </w:p>
        </w:tc>
        <w:tc>
          <w:tcPr>
            <w:tcW w:w="3120" w:type="dxa"/>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459 LOWER HEIDELBERG ROAD</w:t>
            </w:r>
            <w:r w:rsidRPr="0083096F">
              <w:rPr>
                <w:rFonts w:ascii="Gill Sans MT" w:hAnsi="Gill Sans MT"/>
                <w:sz w:val="20"/>
                <w:szCs w:val="20"/>
              </w:rPr>
              <w:br/>
              <w:t>HEIDELBERG</w:t>
            </w:r>
          </w:p>
        </w:tc>
        <w:tc>
          <w:tcPr>
            <w:tcW w:w="1143"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93</w:t>
            </w:r>
          </w:p>
        </w:tc>
        <w:tc>
          <w:tcPr>
            <w:tcW w:w="1126"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105</w:t>
            </w:r>
          </w:p>
        </w:tc>
        <w:tc>
          <w:tcPr>
            <w:tcW w:w="992"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Hotel</w:t>
            </w:r>
          </w:p>
        </w:tc>
        <w:tc>
          <w:tcPr>
            <w:tcW w:w="2268"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$ 11,664,363.06</w:t>
            </w:r>
          </w:p>
        </w:tc>
      </w:tr>
      <w:tr w:rsidR="00D061CC" w:rsidRPr="0083096F" w:rsidTr="00D061CC">
        <w:trPr>
          <w:tblCellSpacing w:w="0" w:type="dxa"/>
        </w:trPr>
        <w:tc>
          <w:tcPr>
            <w:tcW w:w="0" w:type="auto"/>
            <w:shd w:val="clear" w:color="auto" w:fill="EFEFEF"/>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8</w:t>
            </w:r>
          </w:p>
        </w:tc>
        <w:tc>
          <w:tcPr>
            <w:tcW w:w="1978" w:type="dxa"/>
            <w:shd w:val="clear" w:color="auto" w:fill="EFEFEF"/>
            <w:hideMark/>
          </w:tcPr>
          <w:p w:rsidR="00D061CC" w:rsidRPr="0083096F" w:rsidRDefault="008621E7" w:rsidP="00777701">
            <w:pPr>
              <w:spacing w:after="160" w:line="259" w:lineRule="auto"/>
              <w:jc w:val="center"/>
              <w:rPr>
                <w:rFonts w:ascii="Gill Sans MT" w:hAnsi="Gill Sans MT"/>
                <w:sz w:val="20"/>
                <w:szCs w:val="20"/>
              </w:rPr>
            </w:pPr>
            <w:hyperlink r:id="rId16" w:history="1">
              <w:r w:rsidR="00D061CC" w:rsidRPr="0083096F">
                <w:rPr>
                  <w:rStyle w:val="Hyperlink"/>
                  <w:rFonts w:ascii="Gill Sans MT" w:hAnsi="Gill Sans MT"/>
                  <w:sz w:val="20"/>
                  <w:szCs w:val="20"/>
                </w:rPr>
                <w:t>SIR HENRY BARKLY HOTEL</w:t>
              </w:r>
            </w:hyperlink>
          </w:p>
        </w:tc>
        <w:tc>
          <w:tcPr>
            <w:tcW w:w="3120" w:type="dxa"/>
            <w:shd w:val="clear" w:color="auto" w:fill="EFEFEF"/>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92 BURGUNDY STREET</w:t>
            </w:r>
            <w:r w:rsidRPr="0083096F">
              <w:rPr>
                <w:rFonts w:ascii="Gill Sans MT" w:hAnsi="Gill Sans MT"/>
                <w:sz w:val="20"/>
                <w:szCs w:val="20"/>
              </w:rPr>
              <w:br/>
              <w:t>HEIDELBERG VIC</w:t>
            </w:r>
          </w:p>
        </w:tc>
        <w:tc>
          <w:tcPr>
            <w:tcW w:w="1143"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65</w:t>
            </w:r>
          </w:p>
        </w:tc>
        <w:tc>
          <w:tcPr>
            <w:tcW w:w="1126"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65</w:t>
            </w:r>
          </w:p>
        </w:tc>
        <w:tc>
          <w:tcPr>
            <w:tcW w:w="992"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Hotel</w:t>
            </w:r>
          </w:p>
        </w:tc>
        <w:tc>
          <w:tcPr>
            <w:tcW w:w="2268"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$ 7,521,055.04</w:t>
            </w:r>
          </w:p>
        </w:tc>
      </w:tr>
      <w:tr w:rsidR="00D061CC" w:rsidRPr="0083096F" w:rsidTr="00D061CC">
        <w:trPr>
          <w:tblCellSpacing w:w="0" w:type="dxa"/>
        </w:trPr>
        <w:tc>
          <w:tcPr>
            <w:tcW w:w="0" w:type="auto"/>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9</w:t>
            </w:r>
          </w:p>
        </w:tc>
        <w:tc>
          <w:tcPr>
            <w:tcW w:w="1978" w:type="dxa"/>
            <w:hideMark/>
          </w:tcPr>
          <w:p w:rsidR="00D061CC" w:rsidRPr="0083096F" w:rsidRDefault="008621E7" w:rsidP="00777701">
            <w:pPr>
              <w:spacing w:after="160" w:line="259" w:lineRule="auto"/>
              <w:jc w:val="center"/>
              <w:rPr>
                <w:rFonts w:ascii="Gill Sans MT" w:hAnsi="Gill Sans MT"/>
                <w:sz w:val="20"/>
                <w:szCs w:val="20"/>
              </w:rPr>
            </w:pPr>
            <w:hyperlink r:id="rId17" w:history="1">
              <w:r w:rsidR="00D061CC" w:rsidRPr="0083096F">
                <w:rPr>
                  <w:rStyle w:val="Hyperlink"/>
                  <w:rFonts w:ascii="Gill Sans MT" w:hAnsi="Gill Sans MT"/>
                  <w:sz w:val="20"/>
                  <w:szCs w:val="20"/>
                </w:rPr>
                <w:t>WATSONIA RSL</w:t>
              </w:r>
            </w:hyperlink>
          </w:p>
        </w:tc>
        <w:tc>
          <w:tcPr>
            <w:tcW w:w="3120" w:type="dxa"/>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6 MORWELL AVENUE</w:t>
            </w:r>
            <w:r w:rsidRPr="0083096F">
              <w:rPr>
                <w:rFonts w:ascii="Gill Sans MT" w:hAnsi="Gill Sans MT"/>
                <w:sz w:val="20"/>
                <w:szCs w:val="20"/>
              </w:rPr>
              <w:br/>
              <w:t>WATSONIA VIC</w:t>
            </w:r>
          </w:p>
        </w:tc>
        <w:tc>
          <w:tcPr>
            <w:tcW w:w="1143"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103</w:t>
            </w:r>
          </w:p>
        </w:tc>
        <w:tc>
          <w:tcPr>
            <w:tcW w:w="1126"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103</w:t>
            </w:r>
          </w:p>
        </w:tc>
        <w:tc>
          <w:tcPr>
            <w:tcW w:w="992"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Club</w:t>
            </w:r>
          </w:p>
        </w:tc>
        <w:tc>
          <w:tcPr>
            <w:tcW w:w="2268"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$ 6,844,910.59</w:t>
            </w:r>
          </w:p>
        </w:tc>
      </w:tr>
      <w:tr w:rsidR="00D061CC" w:rsidRPr="0083096F" w:rsidTr="00D061CC">
        <w:trPr>
          <w:tblCellSpacing w:w="0" w:type="dxa"/>
        </w:trPr>
        <w:tc>
          <w:tcPr>
            <w:tcW w:w="0" w:type="auto"/>
            <w:shd w:val="clear" w:color="auto" w:fill="EFEFEF"/>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10</w:t>
            </w:r>
          </w:p>
        </w:tc>
        <w:tc>
          <w:tcPr>
            <w:tcW w:w="1978" w:type="dxa"/>
            <w:shd w:val="clear" w:color="auto" w:fill="EFEFEF"/>
            <w:hideMark/>
          </w:tcPr>
          <w:p w:rsidR="00D061CC" w:rsidRPr="0083096F" w:rsidRDefault="008621E7" w:rsidP="00777701">
            <w:pPr>
              <w:spacing w:after="160" w:line="259" w:lineRule="auto"/>
              <w:jc w:val="center"/>
              <w:rPr>
                <w:rFonts w:ascii="Gill Sans MT" w:hAnsi="Gill Sans MT"/>
                <w:sz w:val="20"/>
                <w:szCs w:val="20"/>
              </w:rPr>
            </w:pPr>
            <w:hyperlink r:id="rId18" w:history="1">
              <w:r w:rsidR="00D061CC" w:rsidRPr="0083096F">
                <w:rPr>
                  <w:rStyle w:val="Hyperlink"/>
                  <w:rFonts w:ascii="Gill Sans MT" w:hAnsi="Gill Sans MT"/>
                  <w:sz w:val="20"/>
                  <w:szCs w:val="20"/>
                </w:rPr>
                <w:t>WEST HEIDELBERG RSL</w:t>
              </w:r>
            </w:hyperlink>
          </w:p>
        </w:tc>
        <w:tc>
          <w:tcPr>
            <w:tcW w:w="3120" w:type="dxa"/>
            <w:shd w:val="clear" w:color="auto" w:fill="EFEFEF"/>
            <w:hideMark/>
          </w:tcPr>
          <w:p w:rsidR="00D061CC" w:rsidRPr="0083096F" w:rsidRDefault="00D061CC" w:rsidP="006708FF">
            <w:pPr>
              <w:spacing w:after="160" w:line="259" w:lineRule="auto"/>
              <w:rPr>
                <w:rFonts w:ascii="Gill Sans MT" w:hAnsi="Gill Sans MT"/>
                <w:sz w:val="20"/>
                <w:szCs w:val="20"/>
              </w:rPr>
            </w:pPr>
            <w:r w:rsidRPr="0083096F">
              <w:rPr>
                <w:rFonts w:ascii="Gill Sans MT" w:hAnsi="Gill Sans MT"/>
                <w:sz w:val="20"/>
                <w:szCs w:val="20"/>
              </w:rPr>
              <w:t>180 BELL STREET</w:t>
            </w:r>
            <w:r w:rsidRPr="0083096F">
              <w:rPr>
                <w:rFonts w:ascii="Gill Sans MT" w:hAnsi="Gill Sans MT"/>
                <w:sz w:val="20"/>
                <w:szCs w:val="20"/>
              </w:rPr>
              <w:br/>
              <w:t>WEST HEIDELBERG VIC</w:t>
            </w:r>
          </w:p>
        </w:tc>
        <w:tc>
          <w:tcPr>
            <w:tcW w:w="1143"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31</w:t>
            </w:r>
          </w:p>
        </w:tc>
        <w:tc>
          <w:tcPr>
            <w:tcW w:w="1126"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31</w:t>
            </w:r>
          </w:p>
        </w:tc>
        <w:tc>
          <w:tcPr>
            <w:tcW w:w="992"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Club</w:t>
            </w:r>
          </w:p>
        </w:tc>
        <w:tc>
          <w:tcPr>
            <w:tcW w:w="2268" w:type="dxa"/>
            <w:shd w:val="clear" w:color="auto" w:fill="EFEFEF"/>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$ 1,182,390.99</w:t>
            </w:r>
          </w:p>
        </w:tc>
      </w:tr>
      <w:tr w:rsidR="00D061CC" w:rsidRPr="0083096F" w:rsidTr="00D061CC">
        <w:trPr>
          <w:tblCellSpacing w:w="0" w:type="dxa"/>
        </w:trPr>
        <w:tc>
          <w:tcPr>
            <w:tcW w:w="0" w:type="auto"/>
            <w:hideMark/>
          </w:tcPr>
          <w:p w:rsidR="00D061CC" w:rsidRPr="0083096F" w:rsidRDefault="00D061CC" w:rsidP="006708FF">
            <w:pPr>
              <w:spacing w:after="160" w:line="259" w:lineRule="auto"/>
              <w:rPr>
                <w:rFonts w:ascii="Gill Sans MT" w:hAnsi="Gill Sans MT"/>
                <w:sz w:val="20"/>
                <w:szCs w:val="20"/>
              </w:rPr>
            </w:pPr>
          </w:p>
        </w:tc>
        <w:tc>
          <w:tcPr>
            <w:tcW w:w="1978" w:type="dxa"/>
            <w:hideMark/>
          </w:tcPr>
          <w:p w:rsidR="00D061CC" w:rsidRPr="0083096F" w:rsidRDefault="00D061CC" w:rsidP="006708FF">
            <w:pPr>
              <w:spacing w:after="160" w:line="259" w:lineRule="auto"/>
              <w:rPr>
                <w:rFonts w:ascii="Gill Sans MT" w:hAnsi="Gill Sans MT"/>
                <w:sz w:val="20"/>
                <w:szCs w:val="20"/>
              </w:rPr>
            </w:pPr>
          </w:p>
        </w:tc>
        <w:tc>
          <w:tcPr>
            <w:tcW w:w="3120" w:type="dxa"/>
            <w:hideMark/>
          </w:tcPr>
          <w:p w:rsidR="00D061CC" w:rsidRPr="0083096F" w:rsidRDefault="00D061CC" w:rsidP="006708FF">
            <w:pPr>
              <w:spacing w:after="160" w:line="259" w:lineRule="auto"/>
              <w:rPr>
                <w:rFonts w:ascii="Gill Sans MT" w:hAnsi="Gill Sans MT"/>
                <w:sz w:val="20"/>
                <w:szCs w:val="20"/>
              </w:rPr>
            </w:pPr>
          </w:p>
        </w:tc>
        <w:tc>
          <w:tcPr>
            <w:tcW w:w="1143"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635</w:t>
            </w:r>
          </w:p>
        </w:tc>
        <w:tc>
          <w:tcPr>
            <w:tcW w:w="1126"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667</w:t>
            </w:r>
          </w:p>
        </w:tc>
        <w:tc>
          <w:tcPr>
            <w:tcW w:w="992" w:type="dxa"/>
            <w:hideMark/>
          </w:tcPr>
          <w:p w:rsidR="00D061CC" w:rsidRPr="0083096F" w:rsidRDefault="00D061CC" w:rsidP="006708FF">
            <w:pPr>
              <w:spacing w:after="160" w:line="259" w:lineRule="auto"/>
              <w:jc w:val="center"/>
              <w:rPr>
                <w:rFonts w:ascii="Gill Sans MT" w:hAnsi="Gill Sans MT"/>
                <w:sz w:val="20"/>
                <w:szCs w:val="20"/>
              </w:rPr>
            </w:pPr>
          </w:p>
        </w:tc>
        <w:tc>
          <w:tcPr>
            <w:tcW w:w="2268" w:type="dxa"/>
            <w:hideMark/>
          </w:tcPr>
          <w:p w:rsidR="00D061CC" w:rsidRPr="0083096F" w:rsidRDefault="00D061CC" w:rsidP="006708FF">
            <w:pPr>
              <w:spacing w:after="160" w:line="259" w:lineRule="auto"/>
              <w:jc w:val="center"/>
              <w:rPr>
                <w:rFonts w:ascii="Gill Sans MT" w:hAnsi="Gill Sans MT"/>
                <w:sz w:val="20"/>
                <w:szCs w:val="20"/>
              </w:rPr>
            </w:pPr>
            <w:r w:rsidRPr="0083096F">
              <w:rPr>
                <w:rFonts w:ascii="Gill Sans MT" w:hAnsi="Gill Sans MT"/>
                <w:sz w:val="20"/>
                <w:szCs w:val="20"/>
              </w:rPr>
              <w:t>$ 55,820,854.07</w:t>
            </w:r>
          </w:p>
        </w:tc>
      </w:tr>
    </w:tbl>
    <w:p w:rsidR="007C1D49" w:rsidRPr="0083096F" w:rsidRDefault="00D061CC" w:rsidP="007C1D49">
      <w:pPr>
        <w:rPr>
          <w:rFonts w:ascii="Gill Sans MT" w:hAnsi="Gill Sans MT" w:cs="Arial"/>
          <w:i/>
          <w:sz w:val="18"/>
          <w:szCs w:val="20"/>
        </w:rPr>
      </w:pPr>
      <w:r w:rsidRPr="0083096F">
        <w:rPr>
          <w:rFonts w:ascii="Gill Sans MT" w:hAnsi="Gill Sans MT" w:cs="Arial"/>
          <w:i/>
          <w:sz w:val="18"/>
          <w:szCs w:val="20"/>
        </w:rPr>
        <w:t>NOTE:  Bundoora Bowling Club has rescinded their entitlements which have been absorbed by the Watsonia RSL</w:t>
      </w:r>
    </w:p>
    <w:p w:rsidR="00D061CC" w:rsidRPr="0083096F" w:rsidRDefault="00D061CC" w:rsidP="007C1D49">
      <w:pPr>
        <w:rPr>
          <w:rFonts w:ascii="Gill Sans MT" w:hAnsi="Gill Sans MT" w:cs="Arial"/>
          <w:sz w:val="20"/>
          <w:szCs w:val="20"/>
        </w:rPr>
      </w:pPr>
    </w:p>
    <w:p w:rsidR="00D061CC" w:rsidRPr="0083096F" w:rsidRDefault="00D061CC" w:rsidP="007C1D49">
      <w:pPr>
        <w:rPr>
          <w:rFonts w:ascii="Gill Sans MT" w:hAnsi="Gill Sans MT" w:cs="Arial"/>
          <w:sz w:val="20"/>
          <w:szCs w:val="20"/>
        </w:rPr>
      </w:pPr>
    </w:p>
    <w:p w:rsidR="00D061CC" w:rsidRPr="0083096F" w:rsidRDefault="00D061CC" w:rsidP="007C1D49">
      <w:pPr>
        <w:rPr>
          <w:rFonts w:ascii="Gill Sans MT" w:hAnsi="Gill Sans MT" w:cs="Arial"/>
          <w:sz w:val="20"/>
          <w:szCs w:val="20"/>
        </w:rPr>
      </w:pPr>
    </w:p>
    <w:p w:rsidR="00066FF2" w:rsidRPr="0083096F" w:rsidRDefault="00066FF2" w:rsidP="007C1D49">
      <w:pPr>
        <w:rPr>
          <w:rFonts w:ascii="Gill Sans MT" w:hAnsi="Gill Sans MT" w:cs="Arial"/>
          <w:sz w:val="20"/>
          <w:szCs w:val="20"/>
        </w:rPr>
      </w:pPr>
    </w:p>
    <w:p w:rsidR="00066FF2" w:rsidRPr="0083096F" w:rsidRDefault="00066FF2"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6708FF" w:rsidRPr="0083096F" w:rsidRDefault="006708FF" w:rsidP="007C1D49">
      <w:pPr>
        <w:rPr>
          <w:rFonts w:ascii="Gill Sans MT" w:hAnsi="Gill Sans MT" w:cs="Arial"/>
          <w:sz w:val="20"/>
          <w:szCs w:val="20"/>
        </w:rPr>
      </w:pPr>
    </w:p>
    <w:p w:rsidR="00066FF2" w:rsidRPr="0083096F" w:rsidRDefault="00066FF2" w:rsidP="007C1D49">
      <w:pPr>
        <w:rPr>
          <w:rFonts w:ascii="Gill Sans MT" w:hAnsi="Gill Sans MT" w:cs="Arial"/>
          <w:sz w:val="20"/>
          <w:szCs w:val="20"/>
        </w:rPr>
      </w:pPr>
    </w:p>
    <w:p w:rsidR="00066FF2" w:rsidRPr="0083096F" w:rsidRDefault="00066FF2" w:rsidP="007C1D49">
      <w:pPr>
        <w:rPr>
          <w:rFonts w:ascii="Gill Sans MT" w:hAnsi="Gill Sans MT" w:cs="Arial"/>
          <w:sz w:val="20"/>
          <w:szCs w:val="20"/>
        </w:rPr>
      </w:pPr>
    </w:p>
    <w:p w:rsidR="006708FF" w:rsidRPr="0083096F" w:rsidRDefault="00805721" w:rsidP="00302185">
      <w:pPr>
        <w:pStyle w:val="Heading1"/>
        <w:spacing w:before="120"/>
        <w:rPr>
          <w:rFonts w:ascii="Gill Sans MT" w:hAnsi="Gill Sans MT"/>
          <w:color w:val="262626" w:themeColor="text1" w:themeTint="D9"/>
          <w:highlight w:val="yellow"/>
        </w:rPr>
      </w:pPr>
      <w:bookmarkStart w:id="12" w:name="_Toc504143041"/>
      <w:r w:rsidRPr="0083096F">
        <w:rPr>
          <w:rFonts w:ascii="Gill Sans MT" w:hAnsi="Gill Sans MT"/>
          <w:noProof/>
          <w:lang w:eastAsia="en-AU"/>
        </w:rPr>
        <w:lastRenderedPageBreak/>
        <mc:AlternateContent>
          <mc:Choice Requires="wps">
            <w:drawing>
              <wp:anchor distT="0" distB="0" distL="114300" distR="114300" simplePos="0" relativeHeight="251655168" behindDoc="0" locked="0" layoutInCell="1" allowOverlap="1" wp14:anchorId="38845F94" wp14:editId="49537A6C">
                <wp:simplePos x="0" y="0"/>
                <wp:positionH relativeFrom="column">
                  <wp:posOffset>207034</wp:posOffset>
                </wp:positionH>
                <wp:positionV relativeFrom="paragraph">
                  <wp:posOffset>-233740</wp:posOffset>
                </wp:positionV>
                <wp:extent cx="5489922" cy="3467819"/>
                <wp:effectExtent l="0" t="0" r="15875" b="18415"/>
                <wp:wrapNone/>
                <wp:docPr id="10" name="Flowchart: Alternate Process 10"/>
                <wp:cNvGraphicFramePr/>
                <a:graphic xmlns:a="http://schemas.openxmlformats.org/drawingml/2006/main">
                  <a:graphicData uri="http://schemas.microsoft.com/office/word/2010/wordprocessingShape">
                    <wps:wsp>
                      <wps:cNvSpPr/>
                      <wps:spPr>
                        <a:xfrm>
                          <a:off x="0" y="0"/>
                          <a:ext cx="5489922" cy="3467819"/>
                        </a:xfrm>
                        <a:prstGeom prst="flowChartAlternate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FB43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6" type="#_x0000_t176" style="position:absolute;margin-left:16.3pt;margin-top:-18.4pt;width:432.3pt;height:27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" filled="f" strokecolor="#385d8a" strokeweight="2pt"/>
            </w:pict>
          </mc:Fallback>
        </mc:AlternateContent>
      </w:r>
      <w:r w:rsidR="006708FF" w:rsidRPr="0083096F">
        <w:rPr>
          <w:rFonts w:ascii="Gill Sans MT" w:eastAsia="Times New Roman" w:hAnsi="Gill Sans MT" w:cs="Arial"/>
          <w:b w:val="0"/>
          <w:bCs w:val="0"/>
          <w:noProof/>
          <w:color w:val="auto"/>
          <w:sz w:val="20"/>
          <w:szCs w:val="20"/>
          <w:lang w:eastAsia="en-AU"/>
        </w:rPr>
        <mc:AlternateContent>
          <mc:Choice Requires="wps">
            <w:drawing>
              <wp:anchor distT="45720" distB="45720" distL="114300" distR="114300" simplePos="0" relativeHeight="251654144" behindDoc="1" locked="0" layoutInCell="1" allowOverlap="1" wp14:anchorId="4D408266" wp14:editId="3ED74F7B">
                <wp:simplePos x="0" y="0"/>
                <wp:positionH relativeFrom="column">
                  <wp:posOffset>988813</wp:posOffset>
                </wp:positionH>
                <wp:positionV relativeFrom="paragraph">
                  <wp:posOffset>10972</wp:posOffset>
                </wp:positionV>
                <wp:extent cx="3636010" cy="314706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3147060"/>
                        </a:xfrm>
                        <a:prstGeom prst="rect">
                          <a:avLst/>
                        </a:prstGeom>
                        <a:solidFill>
                          <a:srgbClr val="FFFFFF"/>
                        </a:solidFill>
                        <a:ln w="9525">
                          <a:noFill/>
                          <a:miter lim="800000"/>
                          <a:headEnd/>
                          <a:tailEnd/>
                        </a:ln>
                      </wps:spPr>
                      <wps:txbx>
                        <w:txbxContent>
                          <w:p w:rsidR="007867CC" w:rsidRDefault="007867CC" w:rsidP="006708FF">
                            <w:r w:rsidRPr="006708FF">
                              <w:rPr>
                                <w:noProof/>
                                <w:lang w:eastAsia="en-AU"/>
                              </w:rPr>
                              <w:drawing>
                                <wp:inline distT="0" distB="0" distL="0" distR="0" wp14:anchorId="7930B19A" wp14:editId="5C1A58C1">
                                  <wp:extent cx="3046286" cy="2702442"/>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8514" cy="27132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08266" id="_x0000_t202" coordsize="21600,21600" o:spt="202" path="m,l,21600r21600,l21600,xe">
                <v:stroke joinstyle="miter"/>
                <v:path gradientshapeok="t" o:connecttype="rect"/>
              </v:shapetype>
              <v:shape id="Text Box 2" o:spid="_x0000_s1026" type="#_x0000_t202" style="position:absolute;margin-left:77.85pt;margin-top:.85pt;width:286.3pt;height:24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" stroked="f">
                <v:textbox>
                  <w:txbxContent>
                    <w:p w:rsidR="007867CC" w:rsidRDefault="007867CC" w:rsidP="006708FF">
                      <w:r w:rsidRPr="006708FF">
                        <w:rPr>
                          <w:noProof/>
                          <w:lang w:eastAsia="en-AU"/>
                        </w:rPr>
                        <w:drawing>
                          <wp:inline distT="0" distB="0" distL="0" distR="0" wp14:anchorId="7930B19A" wp14:editId="5C1A58C1">
                            <wp:extent cx="3046286" cy="2702442"/>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8514" cy="2713290"/>
                                    </a:xfrm>
                                    <a:prstGeom prst="rect">
                                      <a:avLst/>
                                    </a:prstGeom>
                                    <a:noFill/>
                                    <a:ln>
                                      <a:noFill/>
                                    </a:ln>
                                  </pic:spPr>
                                </pic:pic>
                              </a:graphicData>
                            </a:graphic>
                          </wp:inline>
                        </w:drawing>
                      </w:r>
                    </w:p>
                  </w:txbxContent>
                </v:textbox>
                <w10:wrap type="square"/>
              </v:shape>
            </w:pict>
          </mc:Fallback>
        </mc:AlternateContent>
      </w:r>
      <w:bookmarkEnd w:id="12"/>
    </w:p>
    <w:p w:rsidR="006708FF" w:rsidRPr="0083096F" w:rsidRDefault="006708FF" w:rsidP="006708FF">
      <w:pPr>
        <w:pStyle w:val="Heading1"/>
        <w:spacing w:before="120"/>
        <w:jc w:val="center"/>
        <w:rPr>
          <w:rFonts w:ascii="Gill Sans MT" w:hAnsi="Gill Sans MT"/>
          <w:color w:val="262626" w:themeColor="text1" w:themeTint="D9"/>
          <w:highlight w:val="yellow"/>
        </w:rPr>
      </w:pPr>
    </w:p>
    <w:p w:rsidR="006708FF" w:rsidRPr="0083096F" w:rsidRDefault="006708FF" w:rsidP="00302185">
      <w:pPr>
        <w:pStyle w:val="Heading1"/>
        <w:spacing w:before="120"/>
        <w:rPr>
          <w:rFonts w:ascii="Gill Sans MT" w:hAnsi="Gill Sans MT"/>
          <w:color w:val="262626" w:themeColor="text1" w:themeTint="D9"/>
          <w:highlight w:val="yellow"/>
        </w:rPr>
      </w:pPr>
    </w:p>
    <w:p w:rsidR="006708FF" w:rsidRPr="0083096F" w:rsidRDefault="006708FF" w:rsidP="00302185">
      <w:pPr>
        <w:pStyle w:val="Heading1"/>
        <w:spacing w:before="120"/>
        <w:rPr>
          <w:rFonts w:ascii="Gill Sans MT" w:hAnsi="Gill Sans MT"/>
          <w:color w:val="262626" w:themeColor="text1" w:themeTint="D9"/>
          <w:highlight w:val="yellow"/>
        </w:rPr>
      </w:pPr>
    </w:p>
    <w:p w:rsidR="006708FF" w:rsidRPr="0083096F" w:rsidRDefault="006708FF" w:rsidP="00302185">
      <w:pPr>
        <w:pStyle w:val="Heading1"/>
        <w:spacing w:before="120"/>
        <w:rPr>
          <w:rFonts w:ascii="Gill Sans MT" w:hAnsi="Gill Sans MT"/>
          <w:color w:val="262626" w:themeColor="text1" w:themeTint="D9"/>
          <w:highlight w:val="yellow"/>
        </w:rPr>
      </w:pPr>
    </w:p>
    <w:p w:rsidR="006708FF" w:rsidRPr="0083096F" w:rsidRDefault="006708FF" w:rsidP="00302185">
      <w:pPr>
        <w:pStyle w:val="Heading1"/>
        <w:spacing w:before="120"/>
        <w:rPr>
          <w:rFonts w:ascii="Gill Sans MT" w:hAnsi="Gill Sans MT"/>
          <w:color w:val="262626" w:themeColor="text1" w:themeTint="D9"/>
          <w:highlight w:val="yellow"/>
        </w:rPr>
      </w:pPr>
    </w:p>
    <w:p w:rsidR="006708FF" w:rsidRPr="0083096F" w:rsidRDefault="006708FF" w:rsidP="00302185">
      <w:pPr>
        <w:pStyle w:val="Heading1"/>
        <w:spacing w:before="120"/>
        <w:rPr>
          <w:rFonts w:ascii="Gill Sans MT" w:hAnsi="Gill Sans MT"/>
          <w:color w:val="262626" w:themeColor="text1" w:themeTint="D9"/>
          <w:highlight w:val="yellow"/>
        </w:rPr>
      </w:pPr>
    </w:p>
    <w:p w:rsidR="006708FF" w:rsidRPr="0083096F" w:rsidRDefault="006708FF" w:rsidP="00302185">
      <w:pPr>
        <w:pStyle w:val="Heading1"/>
        <w:spacing w:before="120"/>
        <w:rPr>
          <w:rFonts w:ascii="Gill Sans MT" w:hAnsi="Gill Sans MT"/>
          <w:color w:val="262626" w:themeColor="text1" w:themeTint="D9"/>
          <w:highlight w:val="yellow"/>
        </w:rPr>
      </w:pPr>
    </w:p>
    <w:p w:rsidR="006708FF" w:rsidRPr="0083096F" w:rsidRDefault="006708FF" w:rsidP="00302185">
      <w:pPr>
        <w:pStyle w:val="Heading1"/>
        <w:spacing w:before="120"/>
        <w:rPr>
          <w:rFonts w:ascii="Gill Sans MT" w:hAnsi="Gill Sans MT"/>
          <w:color w:val="262626" w:themeColor="text1" w:themeTint="D9"/>
          <w:highlight w:val="yellow"/>
        </w:rPr>
      </w:pPr>
    </w:p>
    <w:p w:rsidR="006708FF" w:rsidRPr="0083096F" w:rsidRDefault="00805721" w:rsidP="00302185">
      <w:pPr>
        <w:pStyle w:val="Heading1"/>
        <w:spacing w:before="120"/>
        <w:rPr>
          <w:rFonts w:ascii="Gill Sans MT" w:hAnsi="Gill Sans MT"/>
          <w:color w:val="262626" w:themeColor="text1" w:themeTint="D9"/>
          <w:highlight w:val="yellow"/>
        </w:rPr>
      </w:pPr>
      <w:bookmarkStart w:id="13" w:name="_Toc504143042"/>
      <w:r w:rsidRPr="0083096F">
        <w:rPr>
          <w:rFonts w:ascii="Gill Sans MT" w:hAnsi="Gill Sans MT"/>
          <w:noProof/>
          <w:color w:val="262626" w:themeColor="text1" w:themeTint="D9"/>
          <w:highlight w:val="yellow"/>
          <w:lang w:eastAsia="en-AU"/>
        </w:rPr>
        <mc:AlternateContent>
          <mc:Choice Requires="wps">
            <w:drawing>
              <wp:anchor distT="45720" distB="45720" distL="114300" distR="114300" simplePos="0" relativeHeight="251656192" behindDoc="0" locked="0" layoutInCell="1" allowOverlap="1">
                <wp:simplePos x="0" y="0"/>
                <wp:positionH relativeFrom="column">
                  <wp:posOffset>623630</wp:posOffset>
                </wp:positionH>
                <wp:positionV relativeFrom="paragraph">
                  <wp:posOffset>197904</wp:posOffset>
                </wp:positionV>
                <wp:extent cx="4475480" cy="361315"/>
                <wp:effectExtent l="0" t="0" r="127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361315"/>
                        </a:xfrm>
                        <a:prstGeom prst="rect">
                          <a:avLst/>
                        </a:prstGeom>
                        <a:solidFill>
                          <a:srgbClr val="FFFFFF"/>
                        </a:solidFill>
                        <a:ln w="9525">
                          <a:noFill/>
                          <a:miter lim="800000"/>
                          <a:headEnd/>
                          <a:tailEnd/>
                        </a:ln>
                      </wps:spPr>
                      <wps:txbx>
                        <w:txbxContent>
                          <w:p w:rsidR="007867CC" w:rsidRPr="00EC33C7" w:rsidRDefault="007867CC">
                            <w:pPr>
                              <w:rPr>
                                <w:b/>
                              </w:rPr>
                            </w:pPr>
                            <w:r w:rsidRPr="00EC33C7">
                              <w:rPr>
                                <w:b/>
                              </w:rPr>
                              <w:t>Figure 1: Physical Locations of EGM Venues in Banyule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1pt;margin-top:15.6pt;width:352.4pt;height:28.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" stroked="f">
                <v:textbox>
                  <w:txbxContent>
                    <w:p w:rsidR="007867CC" w:rsidRPr="00EC33C7" w:rsidRDefault="007867CC">
                      <w:pPr>
                        <w:rPr>
                          <w:b/>
                        </w:rPr>
                      </w:pPr>
                      <w:r w:rsidRPr="00EC33C7">
                        <w:rPr>
                          <w:b/>
                        </w:rPr>
                        <w:t>Figure 1: Physical Locations of EGM Venues in Banyule</w:t>
                      </w:r>
                    </w:p>
                  </w:txbxContent>
                </v:textbox>
                <w10:wrap type="square"/>
              </v:shape>
            </w:pict>
          </mc:Fallback>
        </mc:AlternateContent>
      </w:r>
      <w:bookmarkEnd w:id="13"/>
    </w:p>
    <w:p w:rsidR="006708FF" w:rsidRPr="0083096F" w:rsidRDefault="006708FF" w:rsidP="00302185">
      <w:pPr>
        <w:pStyle w:val="Heading1"/>
        <w:spacing w:before="120"/>
        <w:rPr>
          <w:rFonts w:ascii="Gill Sans MT" w:hAnsi="Gill Sans MT"/>
          <w:color w:val="262626" w:themeColor="text1" w:themeTint="D9"/>
          <w:highlight w:val="yellow"/>
        </w:rPr>
      </w:pPr>
    </w:p>
    <w:p w:rsidR="006708FF" w:rsidRPr="0083096F" w:rsidRDefault="006708FF" w:rsidP="00302185">
      <w:pPr>
        <w:pStyle w:val="Heading1"/>
        <w:spacing w:before="120"/>
        <w:rPr>
          <w:rFonts w:ascii="Gill Sans MT" w:hAnsi="Gill Sans MT"/>
          <w:color w:val="262626" w:themeColor="text1" w:themeTint="D9"/>
          <w:highlight w:val="yellow"/>
        </w:rPr>
      </w:pPr>
    </w:p>
    <w:p w:rsidR="008809C3" w:rsidRPr="0083096F" w:rsidRDefault="00E24DDE" w:rsidP="00302185">
      <w:pPr>
        <w:pStyle w:val="Heading1"/>
        <w:spacing w:before="120"/>
        <w:rPr>
          <w:rFonts w:ascii="Gill Sans MT" w:hAnsi="Gill Sans MT"/>
          <w:color w:val="262626" w:themeColor="text1" w:themeTint="D9"/>
        </w:rPr>
      </w:pPr>
      <w:bookmarkStart w:id="14" w:name="_Toc504143043"/>
      <w:r w:rsidRPr="0083096F">
        <w:rPr>
          <w:rFonts w:ascii="Gill Sans MT" w:hAnsi="Gill Sans MT"/>
          <w:color w:val="262626" w:themeColor="text1" w:themeTint="D9"/>
        </w:rPr>
        <w:t xml:space="preserve">Table Two: EGM </w:t>
      </w:r>
      <w:r w:rsidR="008809C3" w:rsidRPr="0083096F">
        <w:rPr>
          <w:rFonts w:ascii="Gill Sans MT" w:hAnsi="Gill Sans MT"/>
          <w:color w:val="262626" w:themeColor="text1" w:themeTint="D9"/>
        </w:rPr>
        <w:t xml:space="preserve">Statistics for Banyule </w:t>
      </w:r>
      <w:r w:rsidR="00214C0F" w:rsidRPr="0083096F">
        <w:rPr>
          <w:rFonts w:ascii="Gill Sans MT" w:hAnsi="Gill Sans MT"/>
          <w:color w:val="262626" w:themeColor="text1" w:themeTint="D9"/>
        </w:rPr>
        <w:t xml:space="preserve">and </w:t>
      </w:r>
      <w:r w:rsidR="008809C3" w:rsidRPr="0083096F">
        <w:rPr>
          <w:rFonts w:ascii="Gill Sans MT" w:hAnsi="Gill Sans MT"/>
          <w:color w:val="262626" w:themeColor="text1" w:themeTint="D9"/>
        </w:rPr>
        <w:t>State comparisons</w:t>
      </w:r>
      <w:bookmarkEnd w:id="14"/>
    </w:p>
    <w:tbl>
      <w:tblPr>
        <w:tblStyle w:val="LightShading-Accent5"/>
        <w:tblW w:w="0" w:type="auto"/>
        <w:tblLook w:val="04A0" w:firstRow="1" w:lastRow="0" w:firstColumn="1" w:lastColumn="0" w:noHBand="0" w:noVBand="1"/>
      </w:tblPr>
      <w:tblGrid>
        <w:gridCol w:w="2782"/>
        <w:gridCol w:w="2188"/>
        <w:gridCol w:w="3873"/>
      </w:tblGrid>
      <w:tr w:rsidR="00C63CEA" w:rsidRPr="0083096F" w:rsidTr="00C55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3" w:type="dxa"/>
            <w:gridSpan w:val="3"/>
            <w:hideMark/>
          </w:tcPr>
          <w:p w:rsidR="00C63CEA" w:rsidRPr="0083096F" w:rsidRDefault="008809C3" w:rsidP="00C63CEA">
            <w:pPr>
              <w:jc w:val="center"/>
              <w:rPr>
                <w:rFonts w:ascii="Gill Sans MT" w:hAnsi="Gill Sans MT" w:cs="Arial"/>
                <w:color w:val="000000"/>
                <w:lang w:eastAsia="en-AU"/>
              </w:rPr>
            </w:pPr>
            <w:r w:rsidRPr="0083096F">
              <w:rPr>
                <w:rFonts w:ascii="Gill Sans MT" w:hAnsi="Gill Sans MT" w:cs="Arial"/>
                <w:color w:val="000000"/>
                <w:lang w:eastAsia="en-AU"/>
              </w:rPr>
              <w:t>EGM</w:t>
            </w:r>
            <w:r w:rsidR="00C63CEA" w:rsidRPr="0083096F">
              <w:rPr>
                <w:rFonts w:ascii="Gill Sans MT" w:hAnsi="Gill Sans MT" w:cs="Arial"/>
                <w:color w:val="000000"/>
                <w:lang w:eastAsia="en-AU"/>
              </w:rPr>
              <w:t xml:space="preserve"> Stats - City of Banyule</w:t>
            </w:r>
          </w:p>
        </w:tc>
      </w:tr>
      <w:tr w:rsidR="004D0CAB" w:rsidRPr="0083096F" w:rsidTr="00C55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rsidR="004D0CAB" w:rsidRPr="0083096F" w:rsidRDefault="004D0CAB" w:rsidP="00C63CEA">
            <w:pPr>
              <w:rPr>
                <w:rFonts w:ascii="Gill Sans MT" w:hAnsi="Gill Sans MT" w:cs="Arial"/>
                <w:b w:val="0"/>
                <w:bCs w:val="0"/>
                <w:color w:val="000000"/>
                <w:lang w:eastAsia="en-AU"/>
              </w:rPr>
            </w:pPr>
          </w:p>
        </w:tc>
        <w:tc>
          <w:tcPr>
            <w:tcW w:w="2188" w:type="dxa"/>
          </w:tcPr>
          <w:p w:rsidR="004D0CAB" w:rsidRPr="0083096F" w:rsidRDefault="004D0CAB" w:rsidP="00C557CE">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color w:val="000000"/>
                <w:lang w:eastAsia="en-AU"/>
              </w:rPr>
            </w:pPr>
            <w:r w:rsidRPr="0083096F">
              <w:rPr>
                <w:rFonts w:ascii="Gill Sans MT" w:hAnsi="Gill Sans MT" w:cs="Arial"/>
                <w:b/>
                <w:bCs/>
                <w:color w:val="244061" w:themeColor="accent1" w:themeShade="80"/>
                <w:lang w:eastAsia="en-AU"/>
              </w:rPr>
              <w:t>Banyule</w:t>
            </w:r>
          </w:p>
        </w:tc>
        <w:tc>
          <w:tcPr>
            <w:tcW w:w="3813" w:type="dxa"/>
          </w:tcPr>
          <w:p w:rsidR="004D0CAB" w:rsidRPr="0083096F" w:rsidDel="004D0CAB" w:rsidRDefault="00AF29D4" w:rsidP="00C557CE">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bCs/>
                <w:color w:val="000000"/>
                <w:lang w:eastAsia="en-AU"/>
              </w:rPr>
            </w:pPr>
            <w:r w:rsidRPr="0083096F">
              <w:rPr>
                <w:rFonts w:ascii="Gill Sans MT" w:hAnsi="Gill Sans MT" w:cs="Arial"/>
                <w:b/>
                <w:bCs/>
                <w:color w:val="244061" w:themeColor="accent1" w:themeShade="80"/>
                <w:lang w:eastAsia="en-AU"/>
              </w:rPr>
              <w:t>Victoria</w:t>
            </w:r>
          </w:p>
        </w:tc>
      </w:tr>
      <w:tr w:rsidR="004D0CAB" w:rsidRPr="0083096F" w:rsidTr="00C557CE">
        <w:tc>
          <w:tcPr>
            <w:cnfStyle w:val="001000000000" w:firstRow="0" w:lastRow="0" w:firstColumn="1" w:lastColumn="0" w:oddVBand="0" w:evenVBand="0" w:oddHBand="0" w:evenHBand="0" w:firstRowFirstColumn="0" w:firstRowLastColumn="0" w:lastRowFirstColumn="0" w:lastRowLastColumn="0"/>
            <w:tcW w:w="2782" w:type="dxa"/>
            <w:hideMark/>
          </w:tcPr>
          <w:p w:rsidR="004D0CAB" w:rsidRPr="0083096F" w:rsidRDefault="004D0CAB" w:rsidP="00C63CEA">
            <w:pPr>
              <w:rPr>
                <w:rFonts w:ascii="Gill Sans MT" w:hAnsi="Gill Sans MT" w:cs="Arial"/>
                <w:color w:val="000000"/>
                <w:lang w:eastAsia="en-AU"/>
              </w:rPr>
            </w:pPr>
            <w:r w:rsidRPr="0083096F">
              <w:rPr>
                <w:rFonts w:ascii="Gill Sans MT" w:hAnsi="Gill Sans MT" w:cs="Arial"/>
                <w:color w:val="000000"/>
                <w:lang w:eastAsia="en-AU"/>
              </w:rPr>
              <w:t>Adult population</w:t>
            </w:r>
          </w:p>
        </w:tc>
        <w:tc>
          <w:tcPr>
            <w:tcW w:w="2188" w:type="dxa"/>
            <w:hideMark/>
          </w:tcPr>
          <w:p w:rsidR="004D0CAB" w:rsidRPr="0083096F" w:rsidRDefault="0043195E" w:rsidP="0043195E">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lang w:eastAsia="en-AU"/>
              </w:rPr>
            </w:pPr>
            <w:r w:rsidRPr="0083096F">
              <w:rPr>
                <w:rFonts w:ascii="Gill Sans MT" w:hAnsi="Gill Sans MT" w:cs="Arial"/>
                <w:color w:val="000000"/>
                <w:lang w:eastAsia="en-AU"/>
              </w:rPr>
              <w:t>101,603</w:t>
            </w:r>
          </w:p>
        </w:tc>
        <w:tc>
          <w:tcPr>
            <w:tcW w:w="3813" w:type="dxa"/>
            <w:hideMark/>
          </w:tcPr>
          <w:p w:rsidR="004D0CAB" w:rsidRPr="0083096F" w:rsidRDefault="004D0CAB" w:rsidP="0043195E">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lang w:eastAsia="en-AU"/>
              </w:rPr>
            </w:pPr>
            <w:r w:rsidRPr="0083096F">
              <w:rPr>
                <w:rFonts w:ascii="Gill Sans MT" w:hAnsi="Gill Sans MT" w:cs="Arial"/>
                <w:color w:val="000000"/>
                <w:lang w:eastAsia="en-AU"/>
              </w:rPr>
              <w:t>4</w:t>
            </w:r>
            <w:r w:rsidR="0043195E" w:rsidRPr="0083096F">
              <w:rPr>
                <w:rFonts w:ascii="Gill Sans MT" w:hAnsi="Gill Sans MT" w:cs="Arial"/>
                <w:color w:val="000000"/>
                <w:lang w:eastAsia="en-AU"/>
              </w:rPr>
              <w:t>,815</w:t>
            </w:r>
            <w:r w:rsidRPr="0083096F">
              <w:rPr>
                <w:rFonts w:ascii="Gill Sans MT" w:hAnsi="Gill Sans MT" w:cs="Arial"/>
                <w:color w:val="000000"/>
                <w:lang w:eastAsia="en-AU"/>
              </w:rPr>
              <w:t>,</w:t>
            </w:r>
            <w:r w:rsidR="0043195E" w:rsidRPr="0083096F">
              <w:rPr>
                <w:rFonts w:ascii="Gill Sans MT" w:hAnsi="Gill Sans MT" w:cs="Arial"/>
                <w:color w:val="000000"/>
                <w:lang w:eastAsia="en-AU"/>
              </w:rPr>
              <w:t>889</w:t>
            </w:r>
          </w:p>
        </w:tc>
      </w:tr>
      <w:tr w:rsidR="00AF29D4" w:rsidRPr="0083096F" w:rsidTr="00C55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rsidR="00AF29D4" w:rsidRPr="0083096F" w:rsidRDefault="00AF29D4" w:rsidP="00C557CE">
            <w:pPr>
              <w:jc w:val="center"/>
              <w:rPr>
                <w:rFonts w:ascii="Gill Sans MT" w:hAnsi="Gill Sans MT" w:cs="Arial"/>
                <w:b w:val="0"/>
                <w:bCs w:val="0"/>
                <w:color w:val="000000"/>
                <w:lang w:eastAsia="en-AU"/>
              </w:rPr>
            </w:pPr>
          </w:p>
        </w:tc>
        <w:tc>
          <w:tcPr>
            <w:tcW w:w="2188" w:type="dxa"/>
          </w:tcPr>
          <w:p w:rsidR="00AF29D4" w:rsidRPr="0083096F" w:rsidRDefault="00AF29D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bCs/>
                <w:color w:val="244061" w:themeColor="accent1" w:themeShade="80"/>
                <w:lang w:eastAsia="en-AU"/>
              </w:rPr>
            </w:pPr>
            <w:r w:rsidRPr="0083096F">
              <w:rPr>
                <w:rFonts w:ascii="Gill Sans MT" w:hAnsi="Gill Sans MT" w:cs="Arial"/>
                <w:b/>
                <w:bCs/>
                <w:color w:val="244061" w:themeColor="accent1" w:themeShade="80"/>
                <w:lang w:eastAsia="en-AU"/>
              </w:rPr>
              <w:t>Banyule Average</w:t>
            </w:r>
          </w:p>
        </w:tc>
        <w:tc>
          <w:tcPr>
            <w:tcW w:w="3813" w:type="dxa"/>
          </w:tcPr>
          <w:p w:rsidR="00AF29D4" w:rsidRPr="0083096F" w:rsidRDefault="00AF29D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bCs/>
                <w:color w:val="000000"/>
                <w:lang w:eastAsia="en-AU"/>
              </w:rPr>
            </w:pPr>
            <w:r w:rsidRPr="0083096F">
              <w:rPr>
                <w:rFonts w:ascii="Gill Sans MT" w:hAnsi="Gill Sans MT" w:cs="Arial"/>
                <w:b/>
                <w:bCs/>
                <w:color w:val="244061" w:themeColor="accent1" w:themeShade="80"/>
                <w:lang w:eastAsia="en-AU"/>
              </w:rPr>
              <w:t>Victorian Average</w:t>
            </w:r>
          </w:p>
        </w:tc>
      </w:tr>
      <w:tr w:rsidR="004D0CAB" w:rsidRPr="0083096F" w:rsidTr="00C557CE">
        <w:tc>
          <w:tcPr>
            <w:cnfStyle w:val="001000000000" w:firstRow="0" w:lastRow="0" w:firstColumn="1" w:lastColumn="0" w:oddVBand="0" w:evenVBand="0" w:oddHBand="0" w:evenHBand="0" w:firstRowFirstColumn="0" w:firstRowLastColumn="0" w:lastRowFirstColumn="0" w:lastRowLastColumn="0"/>
            <w:tcW w:w="2782" w:type="dxa"/>
            <w:hideMark/>
          </w:tcPr>
          <w:p w:rsidR="004D0CAB" w:rsidRPr="0083096F" w:rsidRDefault="004D0CAB" w:rsidP="00C63CEA">
            <w:pPr>
              <w:rPr>
                <w:rFonts w:ascii="Gill Sans MT" w:hAnsi="Gill Sans MT" w:cs="Arial"/>
                <w:color w:val="000000"/>
                <w:lang w:eastAsia="en-AU"/>
              </w:rPr>
            </w:pPr>
            <w:r w:rsidRPr="0083096F">
              <w:rPr>
                <w:rFonts w:ascii="Gill Sans MT" w:hAnsi="Gill Sans MT" w:cs="Arial"/>
                <w:color w:val="000000"/>
                <w:lang w:eastAsia="en-AU"/>
              </w:rPr>
              <w:t>EGMs Per 1000 Adults</w:t>
            </w:r>
          </w:p>
        </w:tc>
        <w:tc>
          <w:tcPr>
            <w:tcW w:w="2188" w:type="dxa"/>
            <w:hideMark/>
          </w:tcPr>
          <w:p w:rsidR="004D0CAB" w:rsidRPr="0083096F" w:rsidRDefault="0043195E" w:rsidP="00C557CE">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lang w:eastAsia="en-AU"/>
              </w:rPr>
            </w:pPr>
            <w:r w:rsidRPr="0083096F">
              <w:rPr>
                <w:rFonts w:ascii="Gill Sans MT" w:hAnsi="Gill Sans MT" w:cs="Arial"/>
                <w:color w:val="000000"/>
                <w:lang w:eastAsia="en-AU"/>
              </w:rPr>
              <w:t>6.25</w:t>
            </w:r>
          </w:p>
        </w:tc>
        <w:tc>
          <w:tcPr>
            <w:tcW w:w="3813" w:type="dxa"/>
            <w:hideMark/>
          </w:tcPr>
          <w:p w:rsidR="004D0CAB" w:rsidRPr="0083096F" w:rsidRDefault="0043195E" w:rsidP="00C557CE">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lang w:eastAsia="en-AU"/>
              </w:rPr>
            </w:pPr>
            <w:r w:rsidRPr="0083096F">
              <w:rPr>
                <w:rFonts w:ascii="Gill Sans MT" w:hAnsi="Gill Sans MT" w:cs="Arial"/>
                <w:color w:val="000000"/>
                <w:lang w:eastAsia="en-AU"/>
              </w:rPr>
              <w:t>5.00</w:t>
            </w:r>
          </w:p>
        </w:tc>
      </w:tr>
      <w:tr w:rsidR="004D0CAB" w:rsidRPr="0083096F" w:rsidTr="00C55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dxa"/>
          </w:tcPr>
          <w:p w:rsidR="004D0CAB" w:rsidRPr="0083096F" w:rsidRDefault="004D0CAB" w:rsidP="00C63CEA">
            <w:pPr>
              <w:rPr>
                <w:rFonts w:ascii="Gill Sans MT" w:hAnsi="Gill Sans MT" w:cs="Arial"/>
                <w:b w:val="0"/>
                <w:bCs w:val="0"/>
                <w:color w:val="000000"/>
                <w:lang w:eastAsia="en-AU"/>
              </w:rPr>
            </w:pPr>
            <w:r w:rsidRPr="0083096F">
              <w:rPr>
                <w:rFonts w:ascii="Gill Sans MT" w:hAnsi="Gill Sans MT" w:cs="Arial"/>
                <w:color w:val="000000"/>
                <w:lang w:eastAsia="en-AU"/>
              </w:rPr>
              <w:t>Adults Per Venue</w:t>
            </w:r>
          </w:p>
        </w:tc>
        <w:tc>
          <w:tcPr>
            <w:tcW w:w="2188" w:type="dxa"/>
          </w:tcPr>
          <w:p w:rsidR="004D0CAB" w:rsidRPr="0083096F" w:rsidRDefault="0043195E" w:rsidP="0043195E">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color w:val="000000"/>
                <w:lang w:eastAsia="en-AU"/>
              </w:rPr>
            </w:pPr>
            <w:r w:rsidRPr="0083096F">
              <w:rPr>
                <w:rFonts w:ascii="Gill Sans MT" w:hAnsi="Gill Sans MT" w:cs="Arial"/>
                <w:color w:val="000000"/>
                <w:lang w:eastAsia="en-AU"/>
              </w:rPr>
              <w:t>11,289</w:t>
            </w:r>
          </w:p>
        </w:tc>
        <w:tc>
          <w:tcPr>
            <w:tcW w:w="3813" w:type="dxa"/>
          </w:tcPr>
          <w:p w:rsidR="004D0CAB" w:rsidRPr="0083096F" w:rsidRDefault="0043195E" w:rsidP="00C557CE">
            <w:pPr>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bCs/>
                <w:color w:val="000000"/>
                <w:lang w:eastAsia="en-AU"/>
              </w:rPr>
            </w:pPr>
            <w:r w:rsidRPr="0083096F">
              <w:rPr>
                <w:rFonts w:ascii="Gill Sans MT" w:hAnsi="Gill Sans MT" w:cs="Arial"/>
                <w:color w:val="000000"/>
                <w:lang w:eastAsia="en-AU"/>
              </w:rPr>
              <w:t>9</w:t>
            </w:r>
            <w:r w:rsidR="000D0096" w:rsidRPr="0083096F">
              <w:rPr>
                <w:rFonts w:ascii="Gill Sans MT" w:hAnsi="Gill Sans MT" w:cs="Arial"/>
                <w:color w:val="000000"/>
                <w:lang w:eastAsia="en-AU"/>
              </w:rPr>
              <w:t>,</w:t>
            </w:r>
            <w:r w:rsidRPr="0083096F">
              <w:rPr>
                <w:rFonts w:ascii="Gill Sans MT" w:hAnsi="Gill Sans MT" w:cs="Arial"/>
                <w:color w:val="000000"/>
                <w:lang w:eastAsia="en-AU"/>
              </w:rPr>
              <w:t>690</w:t>
            </w:r>
          </w:p>
        </w:tc>
      </w:tr>
      <w:tr w:rsidR="004D0CAB" w:rsidRPr="0083096F" w:rsidTr="00C557CE">
        <w:tc>
          <w:tcPr>
            <w:cnfStyle w:val="001000000000" w:firstRow="0" w:lastRow="0" w:firstColumn="1" w:lastColumn="0" w:oddVBand="0" w:evenVBand="0" w:oddHBand="0" w:evenHBand="0" w:firstRowFirstColumn="0" w:firstRowLastColumn="0" w:lastRowFirstColumn="0" w:lastRowLastColumn="0"/>
            <w:tcW w:w="2782" w:type="dxa"/>
          </w:tcPr>
          <w:p w:rsidR="004D0CAB" w:rsidRPr="0083096F" w:rsidRDefault="004D0CAB" w:rsidP="00C63CEA">
            <w:pPr>
              <w:rPr>
                <w:rFonts w:ascii="Gill Sans MT" w:hAnsi="Gill Sans MT" w:cs="Arial"/>
                <w:b w:val="0"/>
                <w:bCs w:val="0"/>
                <w:color w:val="000000"/>
                <w:lang w:eastAsia="en-AU"/>
              </w:rPr>
            </w:pPr>
            <w:r w:rsidRPr="0083096F">
              <w:rPr>
                <w:rFonts w:ascii="Gill Sans MT" w:hAnsi="Gill Sans MT" w:cs="Arial"/>
                <w:color w:val="000000"/>
                <w:lang w:eastAsia="en-AU"/>
              </w:rPr>
              <w:t>EXP Per Adult</w:t>
            </w:r>
          </w:p>
        </w:tc>
        <w:tc>
          <w:tcPr>
            <w:tcW w:w="2188" w:type="dxa"/>
          </w:tcPr>
          <w:p w:rsidR="004D0CAB" w:rsidRPr="0083096F" w:rsidRDefault="0043195E" w:rsidP="00C557CE">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lang w:eastAsia="en-AU"/>
              </w:rPr>
            </w:pPr>
            <w:r w:rsidRPr="0083096F">
              <w:rPr>
                <w:rFonts w:ascii="Gill Sans MT" w:hAnsi="Gill Sans MT" w:cs="Arial"/>
                <w:color w:val="000000"/>
                <w:lang w:eastAsia="en-AU"/>
              </w:rPr>
              <w:t>$549</w:t>
            </w:r>
          </w:p>
        </w:tc>
        <w:tc>
          <w:tcPr>
            <w:tcW w:w="3813" w:type="dxa"/>
          </w:tcPr>
          <w:p w:rsidR="004D0CAB" w:rsidRPr="0083096F" w:rsidRDefault="0043195E" w:rsidP="00C557CE">
            <w:pPr>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b/>
                <w:bCs/>
                <w:color w:val="000000"/>
                <w:lang w:eastAsia="en-AU"/>
              </w:rPr>
            </w:pPr>
            <w:r w:rsidRPr="0083096F">
              <w:rPr>
                <w:rFonts w:ascii="Gill Sans MT" w:hAnsi="Gill Sans MT" w:cs="Arial"/>
                <w:color w:val="000000"/>
                <w:lang w:eastAsia="en-AU"/>
              </w:rPr>
              <w:t>$542</w:t>
            </w:r>
          </w:p>
        </w:tc>
      </w:tr>
    </w:tbl>
    <w:p w:rsidR="00C63CEA" w:rsidRPr="0083096F" w:rsidRDefault="00C63CEA" w:rsidP="007C1D49">
      <w:pPr>
        <w:rPr>
          <w:rFonts w:ascii="Gill Sans MT" w:hAnsi="Gill Sans MT" w:cs="Arial"/>
          <w:sz w:val="16"/>
          <w:szCs w:val="16"/>
        </w:rPr>
      </w:pPr>
    </w:p>
    <w:p w:rsidR="00C63CEA" w:rsidRPr="0083096F" w:rsidRDefault="00943A3A" w:rsidP="007C1D49">
      <w:pPr>
        <w:rPr>
          <w:rFonts w:ascii="Gill Sans MT" w:hAnsi="Gill Sans MT" w:cs="Arial"/>
        </w:rPr>
      </w:pPr>
      <w:r w:rsidRPr="0083096F">
        <w:rPr>
          <w:rFonts w:ascii="Gill Sans MT" w:hAnsi="Gill Sans MT" w:cs="Arial"/>
        </w:rPr>
        <w:t xml:space="preserve">Table Two shows that </w:t>
      </w:r>
      <w:r w:rsidR="00F742C1" w:rsidRPr="0083096F">
        <w:rPr>
          <w:rFonts w:ascii="Gill Sans MT" w:hAnsi="Gill Sans MT" w:cs="Arial"/>
        </w:rPr>
        <w:t>Banyule currently has</w:t>
      </w:r>
      <w:r w:rsidRPr="0083096F">
        <w:rPr>
          <w:rFonts w:ascii="Gill Sans MT" w:hAnsi="Gill Sans MT" w:cs="Arial"/>
        </w:rPr>
        <w:t>:</w:t>
      </w:r>
      <w:r w:rsidR="00F742C1" w:rsidRPr="0083096F">
        <w:rPr>
          <w:rFonts w:ascii="Gill Sans MT" w:hAnsi="Gill Sans MT" w:cs="Arial"/>
        </w:rPr>
        <w:t xml:space="preserve"> a higher number of EGMs than the Victorian Average</w:t>
      </w:r>
      <w:r w:rsidRPr="0083096F">
        <w:rPr>
          <w:rFonts w:ascii="Gill Sans MT" w:hAnsi="Gill Sans MT" w:cs="Arial"/>
        </w:rPr>
        <w:t>; a</w:t>
      </w:r>
      <w:r w:rsidR="00F742C1" w:rsidRPr="0083096F">
        <w:rPr>
          <w:rFonts w:ascii="Gill Sans MT" w:hAnsi="Gill Sans MT" w:cs="Arial"/>
        </w:rPr>
        <w:t xml:space="preserve"> higher number of adults per EGM</w:t>
      </w:r>
      <w:r w:rsidRPr="0083096F">
        <w:rPr>
          <w:rFonts w:ascii="Gill Sans MT" w:hAnsi="Gill Sans MT" w:cs="Arial"/>
        </w:rPr>
        <w:t>;</w:t>
      </w:r>
      <w:r w:rsidR="00F742C1" w:rsidRPr="0083096F">
        <w:rPr>
          <w:rFonts w:ascii="Gill Sans MT" w:hAnsi="Gill Sans MT" w:cs="Arial"/>
        </w:rPr>
        <w:t xml:space="preserve"> and a </w:t>
      </w:r>
      <w:r w:rsidR="00E43F9C" w:rsidRPr="0083096F">
        <w:rPr>
          <w:rFonts w:ascii="Gill Sans MT" w:hAnsi="Gill Sans MT" w:cs="Arial"/>
        </w:rPr>
        <w:t>slightly</w:t>
      </w:r>
      <w:r w:rsidR="0043195E" w:rsidRPr="0083096F">
        <w:rPr>
          <w:rFonts w:ascii="Gill Sans MT" w:hAnsi="Gill Sans MT" w:cs="Arial"/>
        </w:rPr>
        <w:t xml:space="preserve"> higher</w:t>
      </w:r>
      <w:r w:rsidR="00F742C1" w:rsidRPr="0083096F">
        <w:rPr>
          <w:rFonts w:ascii="Gill Sans MT" w:hAnsi="Gill Sans MT" w:cs="Arial"/>
        </w:rPr>
        <w:t xml:space="preserve"> amount of losses per adult than the Victorian average. </w:t>
      </w:r>
    </w:p>
    <w:p w:rsidR="004D0CAB" w:rsidRPr="0083096F" w:rsidRDefault="004D0CAB" w:rsidP="00302185">
      <w:pPr>
        <w:pStyle w:val="Heading1"/>
        <w:spacing w:before="120"/>
        <w:rPr>
          <w:rFonts w:ascii="Gill Sans MT" w:hAnsi="Gill Sans MT"/>
          <w:color w:val="262626" w:themeColor="text1" w:themeTint="D9"/>
        </w:rPr>
      </w:pPr>
      <w:bookmarkStart w:id="15" w:name="_Toc504143044"/>
      <w:r w:rsidRPr="0083096F">
        <w:rPr>
          <w:rFonts w:ascii="Gill Sans MT" w:hAnsi="Gill Sans MT"/>
          <w:color w:val="262626" w:themeColor="text1" w:themeTint="D9"/>
        </w:rPr>
        <w:t xml:space="preserve">Table Three: </w:t>
      </w:r>
      <w:r w:rsidR="007860D1" w:rsidRPr="0083096F">
        <w:rPr>
          <w:rFonts w:ascii="Gill Sans MT" w:hAnsi="Gill Sans MT"/>
          <w:color w:val="262626" w:themeColor="text1" w:themeTint="D9"/>
        </w:rPr>
        <w:t>Expenditure by Year</w:t>
      </w:r>
      <w:bookmarkEnd w:id="15"/>
    </w:p>
    <w:tbl>
      <w:tblPr>
        <w:tblStyle w:val="LightShading-Accent5"/>
        <w:tblW w:w="8454" w:type="dxa"/>
        <w:tblLayout w:type="fixed"/>
        <w:tblLook w:val="04A0" w:firstRow="1" w:lastRow="0" w:firstColumn="1" w:lastColumn="0" w:noHBand="0" w:noVBand="1"/>
      </w:tblPr>
      <w:tblGrid>
        <w:gridCol w:w="4644"/>
        <w:gridCol w:w="1253"/>
        <w:gridCol w:w="1299"/>
        <w:gridCol w:w="1258"/>
      </w:tblGrid>
      <w:tr w:rsidR="007721DF" w:rsidRPr="0083096F" w:rsidTr="00511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721DF" w:rsidRPr="0083096F" w:rsidRDefault="007721DF" w:rsidP="00C63CEA">
            <w:pPr>
              <w:rPr>
                <w:rFonts w:ascii="Gill Sans MT" w:hAnsi="Gill Sans MT" w:cs="Arial"/>
                <w:b w:val="0"/>
                <w:bCs w:val="0"/>
                <w:color w:val="000000"/>
                <w:lang w:eastAsia="en-AU"/>
              </w:rPr>
            </w:pPr>
          </w:p>
        </w:tc>
        <w:tc>
          <w:tcPr>
            <w:tcW w:w="1253" w:type="dxa"/>
          </w:tcPr>
          <w:p w:rsidR="007721DF" w:rsidRPr="0083096F" w:rsidRDefault="007721DF" w:rsidP="007721DF">
            <w:pPr>
              <w:jc w:val="right"/>
              <w:cnfStyle w:val="100000000000" w:firstRow="1" w:lastRow="0" w:firstColumn="0" w:lastColumn="0" w:oddVBand="0" w:evenVBand="0" w:oddHBand="0" w:evenHBand="0" w:firstRowFirstColumn="0" w:firstRowLastColumn="0" w:lastRowFirstColumn="0" w:lastRowLastColumn="0"/>
              <w:rPr>
                <w:rFonts w:ascii="Gill Sans MT" w:hAnsi="Gill Sans MT" w:cs="Arial"/>
                <w:color w:val="000000"/>
                <w:lang w:eastAsia="en-AU"/>
              </w:rPr>
            </w:pPr>
            <w:r w:rsidRPr="0083096F">
              <w:rPr>
                <w:rFonts w:ascii="Gill Sans MT" w:hAnsi="Gill Sans MT" w:cs="Arial"/>
                <w:color w:val="000000"/>
                <w:lang w:eastAsia="en-AU"/>
              </w:rPr>
              <w:t>2014/15</w:t>
            </w:r>
          </w:p>
        </w:tc>
        <w:tc>
          <w:tcPr>
            <w:tcW w:w="1299" w:type="dxa"/>
          </w:tcPr>
          <w:p w:rsidR="007721DF" w:rsidRPr="0083096F" w:rsidRDefault="007721DF" w:rsidP="007721DF">
            <w:pPr>
              <w:jc w:val="right"/>
              <w:cnfStyle w:val="100000000000" w:firstRow="1" w:lastRow="0" w:firstColumn="0" w:lastColumn="0" w:oddVBand="0" w:evenVBand="0" w:oddHBand="0" w:evenHBand="0" w:firstRowFirstColumn="0" w:firstRowLastColumn="0" w:lastRowFirstColumn="0" w:lastRowLastColumn="0"/>
              <w:rPr>
                <w:rFonts w:ascii="Gill Sans MT" w:hAnsi="Gill Sans MT" w:cs="Arial"/>
                <w:color w:val="000000"/>
                <w:lang w:eastAsia="en-AU"/>
              </w:rPr>
            </w:pPr>
            <w:r w:rsidRPr="0083096F">
              <w:rPr>
                <w:rFonts w:ascii="Gill Sans MT" w:hAnsi="Gill Sans MT" w:cs="Arial"/>
                <w:color w:val="000000"/>
                <w:lang w:eastAsia="en-AU"/>
              </w:rPr>
              <w:t>2015/16</w:t>
            </w:r>
          </w:p>
        </w:tc>
        <w:tc>
          <w:tcPr>
            <w:tcW w:w="1258" w:type="dxa"/>
          </w:tcPr>
          <w:p w:rsidR="007721DF" w:rsidRPr="0083096F" w:rsidRDefault="007721DF" w:rsidP="007721DF">
            <w:pPr>
              <w:jc w:val="right"/>
              <w:cnfStyle w:val="100000000000" w:firstRow="1" w:lastRow="0" w:firstColumn="0" w:lastColumn="0" w:oddVBand="0" w:evenVBand="0" w:oddHBand="0" w:evenHBand="0" w:firstRowFirstColumn="0" w:firstRowLastColumn="0" w:lastRowFirstColumn="0" w:lastRowLastColumn="0"/>
              <w:rPr>
                <w:rFonts w:ascii="Gill Sans MT" w:hAnsi="Gill Sans MT" w:cs="Arial"/>
                <w:color w:val="000000"/>
                <w:lang w:eastAsia="en-AU"/>
              </w:rPr>
            </w:pPr>
            <w:r w:rsidRPr="0083096F">
              <w:rPr>
                <w:rFonts w:ascii="Gill Sans MT" w:hAnsi="Gill Sans MT" w:cs="Arial"/>
                <w:color w:val="000000"/>
                <w:lang w:eastAsia="en-AU"/>
              </w:rPr>
              <w:t>2016/17</w:t>
            </w:r>
          </w:p>
        </w:tc>
      </w:tr>
      <w:tr w:rsidR="007721DF" w:rsidRPr="0083096F" w:rsidTr="00511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hideMark/>
          </w:tcPr>
          <w:p w:rsidR="007721DF" w:rsidRPr="0083096F" w:rsidRDefault="007721DF" w:rsidP="00C557CE">
            <w:pPr>
              <w:spacing w:before="120" w:after="120"/>
              <w:rPr>
                <w:rFonts w:ascii="Gill Sans MT" w:hAnsi="Gill Sans MT" w:cs="Arial"/>
                <w:color w:val="000000"/>
                <w:sz w:val="20"/>
                <w:szCs w:val="20"/>
                <w:lang w:eastAsia="en-AU"/>
              </w:rPr>
            </w:pPr>
            <w:r w:rsidRPr="0083096F">
              <w:rPr>
                <w:rFonts w:ascii="Gill Sans MT" w:hAnsi="Gill Sans MT" w:cs="Arial"/>
                <w:color w:val="000000"/>
                <w:sz w:val="20"/>
                <w:szCs w:val="20"/>
                <w:lang w:eastAsia="en-AU"/>
              </w:rPr>
              <w:t>EXP per EGM in City of Banyule</w:t>
            </w:r>
          </w:p>
        </w:tc>
        <w:tc>
          <w:tcPr>
            <w:tcW w:w="1253" w:type="dxa"/>
            <w:hideMark/>
          </w:tcPr>
          <w:p w:rsidR="007721DF" w:rsidRPr="0083096F" w:rsidRDefault="007721DF" w:rsidP="007721DF">
            <w:pPr>
              <w:spacing w:before="120" w:after="120"/>
              <w:jc w:val="right"/>
              <w:cnfStyle w:val="000000100000" w:firstRow="0" w:lastRow="0" w:firstColumn="0" w:lastColumn="0" w:oddVBand="0" w:evenVBand="0" w:oddHBand="1"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$92,551.18</w:t>
            </w:r>
          </w:p>
        </w:tc>
        <w:tc>
          <w:tcPr>
            <w:tcW w:w="1299" w:type="dxa"/>
            <w:hideMark/>
          </w:tcPr>
          <w:p w:rsidR="007721DF" w:rsidRPr="0083096F" w:rsidRDefault="007721DF" w:rsidP="007721DF">
            <w:pPr>
              <w:spacing w:before="120" w:after="120"/>
              <w:jc w:val="right"/>
              <w:cnfStyle w:val="000000100000" w:firstRow="0" w:lastRow="0" w:firstColumn="0" w:lastColumn="0" w:oddVBand="0" w:evenVBand="0" w:oddHBand="1"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$88,296.44</w:t>
            </w:r>
          </w:p>
        </w:tc>
        <w:tc>
          <w:tcPr>
            <w:tcW w:w="1258" w:type="dxa"/>
            <w:hideMark/>
          </w:tcPr>
          <w:p w:rsidR="007721DF" w:rsidRPr="0083096F" w:rsidRDefault="007721DF" w:rsidP="00805721">
            <w:pPr>
              <w:spacing w:before="120" w:after="120"/>
              <w:jc w:val="right"/>
              <w:cnfStyle w:val="000000100000" w:firstRow="0" w:lastRow="0" w:firstColumn="0" w:lastColumn="0" w:oddVBand="0" w:evenVBand="0" w:oddHBand="1"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$8</w:t>
            </w:r>
            <w:r w:rsidR="00805721" w:rsidRPr="0083096F">
              <w:rPr>
                <w:rFonts w:ascii="Gill Sans MT" w:hAnsi="Gill Sans MT" w:cs="Arial"/>
                <w:color w:val="000000"/>
                <w:sz w:val="18"/>
                <w:szCs w:val="18"/>
                <w:lang w:eastAsia="en-AU"/>
              </w:rPr>
              <w:t>7</w:t>
            </w:r>
            <w:r w:rsidRPr="0083096F">
              <w:rPr>
                <w:rFonts w:ascii="Gill Sans MT" w:hAnsi="Gill Sans MT" w:cs="Arial"/>
                <w:color w:val="000000"/>
                <w:sz w:val="18"/>
                <w:szCs w:val="18"/>
                <w:lang w:eastAsia="en-AU"/>
              </w:rPr>
              <w:t>,</w:t>
            </w:r>
            <w:r w:rsidR="00805721" w:rsidRPr="0083096F">
              <w:rPr>
                <w:rFonts w:ascii="Gill Sans MT" w:hAnsi="Gill Sans MT" w:cs="Arial"/>
                <w:color w:val="000000"/>
                <w:sz w:val="18"/>
                <w:szCs w:val="18"/>
                <w:lang w:eastAsia="en-AU"/>
              </w:rPr>
              <w:t>906.43</w:t>
            </w:r>
          </w:p>
        </w:tc>
      </w:tr>
      <w:tr w:rsidR="00805721" w:rsidRPr="0083096F" w:rsidTr="00511FC6">
        <w:tc>
          <w:tcPr>
            <w:cnfStyle w:val="001000000000" w:firstRow="0" w:lastRow="0" w:firstColumn="1" w:lastColumn="0" w:oddVBand="0" w:evenVBand="0" w:oddHBand="0" w:evenHBand="0" w:firstRowFirstColumn="0" w:firstRowLastColumn="0" w:lastRowFirstColumn="0" w:lastRowLastColumn="0"/>
            <w:tcW w:w="4644" w:type="dxa"/>
          </w:tcPr>
          <w:p w:rsidR="00805721" w:rsidRPr="0083096F" w:rsidRDefault="00805721" w:rsidP="00805721">
            <w:pPr>
              <w:spacing w:before="120" w:after="120"/>
              <w:rPr>
                <w:rFonts w:ascii="Gill Sans MT" w:hAnsi="Gill Sans MT" w:cs="Arial"/>
                <w:color w:val="000000"/>
                <w:sz w:val="20"/>
                <w:szCs w:val="20"/>
                <w:lang w:eastAsia="en-AU"/>
              </w:rPr>
            </w:pPr>
            <w:r w:rsidRPr="0083096F">
              <w:rPr>
                <w:rFonts w:ascii="Gill Sans MT" w:hAnsi="Gill Sans MT" w:cs="Arial"/>
                <w:color w:val="000000"/>
                <w:sz w:val="20"/>
                <w:szCs w:val="20"/>
                <w:lang w:eastAsia="en-AU"/>
              </w:rPr>
              <w:t>Average Victorian EXP per EGM</w:t>
            </w:r>
          </w:p>
        </w:tc>
        <w:tc>
          <w:tcPr>
            <w:tcW w:w="1253" w:type="dxa"/>
          </w:tcPr>
          <w:p w:rsidR="00805721" w:rsidRPr="0083096F" w:rsidRDefault="00805721" w:rsidP="007721DF">
            <w:pPr>
              <w:spacing w:before="120" w:after="120"/>
              <w:jc w:val="right"/>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$97,925.91</w:t>
            </w:r>
          </w:p>
        </w:tc>
        <w:tc>
          <w:tcPr>
            <w:tcW w:w="1299" w:type="dxa"/>
          </w:tcPr>
          <w:p w:rsidR="00805721" w:rsidRPr="0083096F" w:rsidRDefault="00805721" w:rsidP="007721DF">
            <w:pPr>
              <w:spacing w:before="120" w:after="120"/>
              <w:jc w:val="right"/>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$99,381.07</w:t>
            </w:r>
          </w:p>
        </w:tc>
        <w:tc>
          <w:tcPr>
            <w:tcW w:w="1258" w:type="dxa"/>
          </w:tcPr>
          <w:p w:rsidR="00805721" w:rsidRPr="0083096F" w:rsidRDefault="00805721" w:rsidP="00805721">
            <w:pPr>
              <w:spacing w:before="120" w:after="120"/>
              <w:jc w:val="right"/>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$98,977.05</w:t>
            </w:r>
          </w:p>
        </w:tc>
      </w:tr>
      <w:tr w:rsidR="007721DF" w:rsidRPr="0083096F" w:rsidTr="00511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hideMark/>
          </w:tcPr>
          <w:p w:rsidR="007721DF" w:rsidRPr="0083096F" w:rsidRDefault="007721DF" w:rsidP="00C557CE">
            <w:pPr>
              <w:spacing w:before="120" w:after="120"/>
              <w:rPr>
                <w:rFonts w:ascii="Gill Sans MT" w:hAnsi="Gill Sans MT" w:cs="Arial"/>
                <w:color w:val="000000"/>
                <w:sz w:val="20"/>
                <w:szCs w:val="20"/>
                <w:lang w:eastAsia="en-AU"/>
              </w:rPr>
            </w:pPr>
            <w:r w:rsidRPr="0083096F">
              <w:rPr>
                <w:rFonts w:ascii="Gill Sans MT" w:hAnsi="Gill Sans MT" w:cs="Arial"/>
                <w:color w:val="000000"/>
                <w:sz w:val="20"/>
                <w:szCs w:val="20"/>
                <w:lang w:eastAsia="en-AU"/>
              </w:rPr>
              <w:t>Average EXP per EGM for Hotels in City of Banyule</w:t>
            </w:r>
          </w:p>
        </w:tc>
        <w:tc>
          <w:tcPr>
            <w:tcW w:w="1253" w:type="dxa"/>
            <w:hideMark/>
          </w:tcPr>
          <w:p w:rsidR="007721DF" w:rsidRPr="0083096F" w:rsidRDefault="007721DF" w:rsidP="007721DF">
            <w:pPr>
              <w:spacing w:before="120" w:after="120"/>
              <w:jc w:val="right"/>
              <w:cnfStyle w:val="000000100000" w:firstRow="0" w:lastRow="0" w:firstColumn="0" w:lastColumn="0" w:oddVBand="0" w:evenVBand="0" w:oddHBand="1"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$110,245.10</w:t>
            </w:r>
          </w:p>
        </w:tc>
        <w:tc>
          <w:tcPr>
            <w:tcW w:w="1299" w:type="dxa"/>
            <w:hideMark/>
          </w:tcPr>
          <w:p w:rsidR="007721DF" w:rsidRPr="0083096F" w:rsidRDefault="007721DF" w:rsidP="007721DF">
            <w:pPr>
              <w:spacing w:before="120" w:after="120"/>
              <w:jc w:val="right"/>
              <w:cnfStyle w:val="000000100000" w:firstRow="0" w:lastRow="0" w:firstColumn="0" w:lastColumn="0" w:oddVBand="0" w:evenVBand="0" w:oddHBand="1"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$112,863.37</w:t>
            </w:r>
          </w:p>
        </w:tc>
        <w:tc>
          <w:tcPr>
            <w:tcW w:w="1258" w:type="dxa"/>
            <w:hideMark/>
          </w:tcPr>
          <w:p w:rsidR="007721DF" w:rsidRPr="0083096F" w:rsidRDefault="007721DF" w:rsidP="00805721">
            <w:pPr>
              <w:spacing w:before="120" w:after="120"/>
              <w:jc w:val="right"/>
              <w:cnfStyle w:val="000000100000" w:firstRow="0" w:lastRow="0" w:firstColumn="0" w:lastColumn="0" w:oddVBand="0" w:evenVBand="0" w:oddHBand="1"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$111,477.8</w:t>
            </w:r>
            <w:r w:rsidR="00805721" w:rsidRPr="0083096F">
              <w:rPr>
                <w:rFonts w:ascii="Gill Sans MT" w:hAnsi="Gill Sans MT" w:cs="Arial"/>
                <w:color w:val="000000"/>
                <w:sz w:val="18"/>
                <w:szCs w:val="18"/>
                <w:lang w:eastAsia="en-AU"/>
              </w:rPr>
              <w:t>6</w:t>
            </w:r>
          </w:p>
        </w:tc>
      </w:tr>
      <w:tr w:rsidR="007721DF" w:rsidRPr="0083096F" w:rsidTr="00511FC6">
        <w:tc>
          <w:tcPr>
            <w:cnfStyle w:val="001000000000" w:firstRow="0" w:lastRow="0" w:firstColumn="1" w:lastColumn="0" w:oddVBand="0" w:evenVBand="0" w:oddHBand="0" w:evenHBand="0" w:firstRowFirstColumn="0" w:firstRowLastColumn="0" w:lastRowFirstColumn="0" w:lastRowLastColumn="0"/>
            <w:tcW w:w="4644" w:type="dxa"/>
            <w:hideMark/>
          </w:tcPr>
          <w:p w:rsidR="007721DF" w:rsidRPr="0083096F" w:rsidRDefault="007721DF" w:rsidP="00C557CE">
            <w:pPr>
              <w:spacing w:before="120" w:after="120"/>
              <w:rPr>
                <w:rFonts w:ascii="Gill Sans MT" w:hAnsi="Gill Sans MT" w:cs="Arial"/>
                <w:color w:val="000000"/>
                <w:sz w:val="20"/>
                <w:szCs w:val="20"/>
                <w:lang w:eastAsia="en-AU"/>
              </w:rPr>
            </w:pPr>
            <w:r w:rsidRPr="0083096F">
              <w:rPr>
                <w:rFonts w:ascii="Gill Sans MT" w:hAnsi="Gill Sans MT" w:cs="Arial"/>
                <w:color w:val="000000"/>
                <w:sz w:val="20"/>
                <w:szCs w:val="20"/>
                <w:lang w:eastAsia="en-AU"/>
              </w:rPr>
              <w:t>Average EXP per EGM for Clubs in City of Banyule</w:t>
            </w:r>
          </w:p>
        </w:tc>
        <w:tc>
          <w:tcPr>
            <w:tcW w:w="1253" w:type="dxa"/>
            <w:hideMark/>
          </w:tcPr>
          <w:p w:rsidR="007721DF" w:rsidRPr="0083096F" w:rsidRDefault="007721DF" w:rsidP="007721DF">
            <w:pPr>
              <w:spacing w:before="120" w:after="120"/>
              <w:jc w:val="right"/>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$61,996.40</w:t>
            </w:r>
          </w:p>
        </w:tc>
        <w:tc>
          <w:tcPr>
            <w:tcW w:w="1299" w:type="dxa"/>
            <w:hideMark/>
          </w:tcPr>
          <w:p w:rsidR="007721DF" w:rsidRPr="0083096F" w:rsidRDefault="007721DF" w:rsidP="00C557CE">
            <w:pPr>
              <w:spacing w:before="120" w:after="120"/>
              <w:jc w:val="right"/>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$53,187.39</w:t>
            </w:r>
          </w:p>
        </w:tc>
        <w:tc>
          <w:tcPr>
            <w:tcW w:w="1258" w:type="dxa"/>
            <w:hideMark/>
          </w:tcPr>
          <w:p w:rsidR="007721DF" w:rsidRPr="0083096F" w:rsidRDefault="007721DF" w:rsidP="00805721">
            <w:pPr>
              <w:spacing w:before="120" w:after="120"/>
              <w:jc w:val="right"/>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$5</w:t>
            </w:r>
            <w:r w:rsidR="00805721" w:rsidRPr="0083096F">
              <w:rPr>
                <w:rFonts w:ascii="Gill Sans MT" w:hAnsi="Gill Sans MT" w:cs="Arial"/>
                <w:color w:val="000000"/>
                <w:sz w:val="18"/>
                <w:szCs w:val="18"/>
                <w:lang w:eastAsia="en-AU"/>
              </w:rPr>
              <w:t>4</w:t>
            </w:r>
            <w:r w:rsidRPr="0083096F">
              <w:rPr>
                <w:rFonts w:ascii="Gill Sans MT" w:hAnsi="Gill Sans MT" w:cs="Arial"/>
                <w:color w:val="000000"/>
                <w:sz w:val="18"/>
                <w:szCs w:val="18"/>
                <w:lang w:eastAsia="en-AU"/>
              </w:rPr>
              <w:t>,</w:t>
            </w:r>
            <w:r w:rsidR="00805721" w:rsidRPr="0083096F">
              <w:rPr>
                <w:rFonts w:ascii="Gill Sans MT" w:hAnsi="Gill Sans MT" w:cs="Arial"/>
                <w:color w:val="000000"/>
                <w:sz w:val="18"/>
                <w:szCs w:val="18"/>
                <w:lang w:eastAsia="en-AU"/>
              </w:rPr>
              <w:t>349</w:t>
            </w:r>
            <w:r w:rsidRPr="0083096F">
              <w:rPr>
                <w:rFonts w:ascii="Gill Sans MT" w:hAnsi="Gill Sans MT" w:cs="Arial"/>
                <w:color w:val="000000"/>
                <w:sz w:val="18"/>
                <w:szCs w:val="18"/>
                <w:lang w:eastAsia="en-AU"/>
              </w:rPr>
              <w:t>.</w:t>
            </w:r>
            <w:r w:rsidR="00805721" w:rsidRPr="0083096F">
              <w:rPr>
                <w:rFonts w:ascii="Gill Sans MT" w:hAnsi="Gill Sans MT" w:cs="Arial"/>
                <w:color w:val="000000"/>
                <w:sz w:val="18"/>
                <w:szCs w:val="18"/>
                <w:lang w:eastAsia="en-AU"/>
              </w:rPr>
              <w:t>66</w:t>
            </w:r>
          </w:p>
        </w:tc>
      </w:tr>
      <w:tr w:rsidR="00805721" w:rsidRPr="0083096F" w:rsidTr="00511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805721" w:rsidRPr="0083096F" w:rsidRDefault="00805721" w:rsidP="00C557CE">
            <w:pPr>
              <w:spacing w:before="120" w:after="120"/>
              <w:rPr>
                <w:rFonts w:ascii="Gill Sans MT" w:hAnsi="Gill Sans MT" w:cs="Arial"/>
                <w:color w:val="000000"/>
                <w:sz w:val="20"/>
                <w:szCs w:val="20"/>
                <w:lang w:eastAsia="en-AU"/>
              </w:rPr>
            </w:pPr>
            <w:r w:rsidRPr="0083096F">
              <w:rPr>
                <w:rFonts w:ascii="Gill Sans MT" w:hAnsi="Gill Sans MT" w:cs="Arial"/>
                <w:color w:val="000000"/>
                <w:sz w:val="20"/>
                <w:szCs w:val="20"/>
                <w:lang w:eastAsia="en-AU"/>
              </w:rPr>
              <w:t>Total EXP in Banyule Per Year</w:t>
            </w:r>
          </w:p>
        </w:tc>
        <w:tc>
          <w:tcPr>
            <w:tcW w:w="1253" w:type="dxa"/>
          </w:tcPr>
          <w:p w:rsidR="00805721" w:rsidRPr="0083096F" w:rsidRDefault="00805721" w:rsidP="007721DF">
            <w:pPr>
              <w:spacing w:before="120" w:after="120"/>
              <w:jc w:val="right"/>
              <w:cnfStyle w:val="000000100000" w:firstRow="0" w:lastRow="0" w:firstColumn="0" w:lastColumn="0" w:oddVBand="0" w:evenVBand="0" w:oddHBand="1"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$54,512,649</w:t>
            </w:r>
          </w:p>
        </w:tc>
        <w:tc>
          <w:tcPr>
            <w:tcW w:w="1299" w:type="dxa"/>
          </w:tcPr>
          <w:p w:rsidR="00805721" w:rsidRPr="0083096F" w:rsidRDefault="00805721" w:rsidP="00C557CE">
            <w:pPr>
              <w:spacing w:before="120" w:after="120"/>
              <w:jc w:val="right"/>
              <w:cnfStyle w:val="000000100000" w:firstRow="0" w:lastRow="0" w:firstColumn="0" w:lastColumn="0" w:oddVBand="0" w:evenVBand="0" w:oddHBand="1"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$55,979,947</w:t>
            </w:r>
          </w:p>
        </w:tc>
        <w:tc>
          <w:tcPr>
            <w:tcW w:w="1258" w:type="dxa"/>
          </w:tcPr>
          <w:p w:rsidR="00805721" w:rsidRPr="0083096F" w:rsidRDefault="00805721" w:rsidP="00C557CE">
            <w:pPr>
              <w:spacing w:before="120" w:after="120"/>
              <w:jc w:val="right"/>
              <w:cnfStyle w:val="000000100000" w:firstRow="0" w:lastRow="0" w:firstColumn="0" w:lastColumn="0" w:oddVBand="0" w:evenVBand="0" w:oddHBand="1"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$55,820,854</w:t>
            </w:r>
          </w:p>
        </w:tc>
      </w:tr>
      <w:tr w:rsidR="00805721" w:rsidRPr="0083096F" w:rsidTr="00511FC6">
        <w:tc>
          <w:tcPr>
            <w:cnfStyle w:val="001000000000" w:firstRow="0" w:lastRow="0" w:firstColumn="1" w:lastColumn="0" w:oddVBand="0" w:evenVBand="0" w:oddHBand="0" w:evenHBand="0" w:firstRowFirstColumn="0" w:firstRowLastColumn="0" w:lastRowFirstColumn="0" w:lastRowLastColumn="0"/>
            <w:tcW w:w="4644" w:type="dxa"/>
          </w:tcPr>
          <w:p w:rsidR="00805721" w:rsidRPr="0083096F" w:rsidRDefault="00805721" w:rsidP="00C557CE">
            <w:pPr>
              <w:spacing w:before="120" w:after="120"/>
              <w:rPr>
                <w:rFonts w:ascii="Gill Sans MT" w:hAnsi="Gill Sans MT" w:cs="Arial"/>
                <w:color w:val="000000"/>
                <w:sz w:val="20"/>
                <w:szCs w:val="20"/>
                <w:lang w:eastAsia="en-AU"/>
              </w:rPr>
            </w:pPr>
            <w:r w:rsidRPr="0083096F">
              <w:rPr>
                <w:rFonts w:ascii="Gill Sans MT" w:hAnsi="Gill Sans MT" w:cs="Arial"/>
                <w:color w:val="000000"/>
                <w:sz w:val="20"/>
                <w:szCs w:val="20"/>
                <w:lang w:eastAsia="en-AU"/>
              </w:rPr>
              <w:t>Number of Machines in Banyule</w:t>
            </w:r>
            <w:r w:rsidR="00312CD7" w:rsidRPr="0083096F">
              <w:rPr>
                <w:rFonts w:ascii="Gill Sans MT" w:hAnsi="Gill Sans MT" w:cs="Arial"/>
                <w:color w:val="000000"/>
                <w:sz w:val="20"/>
                <w:szCs w:val="20"/>
                <w:lang w:eastAsia="en-AU"/>
              </w:rPr>
              <w:t xml:space="preserve"> Per Year</w:t>
            </w:r>
          </w:p>
        </w:tc>
        <w:tc>
          <w:tcPr>
            <w:tcW w:w="1253" w:type="dxa"/>
          </w:tcPr>
          <w:p w:rsidR="00805721" w:rsidRPr="0083096F" w:rsidRDefault="00805721" w:rsidP="00805721">
            <w:pPr>
              <w:spacing w:before="120" w:after="120"/>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589</w:t>
            </w:r>
          </w:p>
        </w:tc>
        <w:tc>
          <w:tcPr>
            <w:tcW w:w="1299" w:type="dxa"/>
          </w:tcPr>
          <w:p w:rsidR="00805721" w:rsidRPr="0083096F" w:rsidRDefault="00805721" w:rsidP="00805721">
            <w:pPr>
              <w:spacing w:before="120" w:after="120"/>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634</w:t>
            </w:r>
          </w:p>
        </w:tc>
        <w:tc>
          <w:tcPr>
            <w:tcW w:w="1258" w:type="dxa"/>
          </w:tcPr>
          <w:p w:rsidR="00805721" w:rsidRPr="0083096F" w:rsidRDefault="00805721" w:rsidP="00805721">
            <w:pPr>
              <w:spacing w:before="120" w:after="120"/>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635</w:t>
            </w:r>
          </w:p>
        </w:tc>
      </w:tr>
    </w:tbl>
    <w:p w:rsidR="004D0CAB" w:rsidRPr="0083096F" w:rsidRDefault="004D0CAB" w:rsidP="004D0CAB">
      <w:pPr>
        <w:rPr>
          <w:rFonts w:ascii="Gill Sans MT" w:hAnsi="Gill Sans MT" w:cs="Arial"/>
          <w:sz w:val="16"/>
          <w:szCs w:val="16"/>
          <w:highlight w:val="yellow"/>
        </w:rPr>
      </w:pPr>
    </w:p>
    <w:p w:rsidR="00837202" w:rsidRPr="0083096F" w:rsidRDefault="00943A3A" w:rsidP="00837202">
      <w:pPr>
        <w:rPr>
          <w:rFonts w:ascii="Gill Sans MT" w:hAnsi="Gill Sans MT" w:cs="Arial"/>
        </w:rPr>
      </w:pPr>
      <w:r w:rsidRPr="0083096F">
        <w:rPr>
          <w:rFonts w:ascii="Gill Sans MT" w:hAnsi="Gill Sans MT" w:cs="Arial"/>
        </w:rPr>
        <w:t>Table Three highlights that Banyule e</w:t>
      </w:r>
      <w:r w:rsidR="00F742C1" w:rsidRPr="0083096F">
        <w:rPr>
          <w:rFonts w:ascii="Gill Sans MT" w:hAnsi="Gill Sans MT" w:cs="Arial"/>
        </w:rPr>
        <w:t xml:space="preserve">xpenditure on EGMs is </w:t>
      </w:r>
      <w:r w:rsidR="00837202" w:rsidRPr="0083096F">
        <w:rPr>
          <w:rFonts w:ascii="Gill Sans MT" w:hAnsi="Gill Sans MT" w:cs="Arial"/>
        </w:rPr>
        <w:t>lower than</w:t>
      </w:r>
      <w:r w:rsidRPr="0083096F">
        <w:rPr>
          <w:rFonts w:ascii="Gill Sans MT" w:hAnsi="Gill Sans MT" w:cs="Arial"/>
        </w:rPr>
        <w:t xml:space="preserve"> the Victorian State average: people lose </w:t>
      </w:r>
      <w:r w:rsidR="00837202" w:rsidRPr="0083096F">
        <w:rPr>
          <w:rFonts w:ascii="Gill Sans MT" w:hAnsi="Gill Sans MT" w:cs="Arial"/>
        </w:rPr>
        <w:t>substantially more</w:t>
      </w:r>
      <w:r w:rsidR="00F742C1" w:rsidRPr="0083096F">
        <w:rPr>
          <w:rFonts w:ascii="Gill Sans MT" w:hAnsi="Gill Sans MT" w:cs="Arial"/>
        </w:rPr>
        <w:t xml:space="preserve"> in hotels as compared to clubs. </w:t>
      </w:r>
      <w:bookmarkStart w:id="16" w:name="_Toc504143045"/>
    </w:p>
    <w:p w:rsidR="00837202" w:rsidRPr="0083096F" w:rsidRDefault="00837202" w:rsidP="00837202">
      <w:pPr>
        <w:rPr>
          <w:rFonts w:ascii="Gill Sans MT" w:hAnsi="Gill Sans MT" w:cs="Arial"/>
          <w:color w:val="FF0000"/>
        </w:rPr>
      </w:pPr>
    </w:p>
    <w:p w:rsidR="00837202" w:rsidRPr="0083096F" w:rsidRDefault="00837202" w:rsidP="00837202">
      <w:pPr>
        <w:rPr>
          <w:rFonts w:ascii="Gill Sans MT" w:hAnsi="Gill Sans MT" w:cs="Arial"/>
          <w:color w:val="FF0000"/>
        </w:rPr>
      </w:pPr>
    </w:p>
    <w:p w:rsidR="007C1D49" w:rsidRPr="0083096F" w:rsidRDefault="007C1D49" w:rsidP="00302185">
      <w:pPr>
        <w:pStyle w:val="Heading1"/>
        <w:spacing w:before="120"/>
        <w:rPr>
          <w:rFonts w:ascii="Gill Sans MT" w:hAnsi="Gill Sans MT"/>
        </w:rPr>
      </w:pPr>
      <w:r w:rsidRPr="0083096F">
        <w:rPr>
          <w:rFonts w:ascii="Gill Sans MT" w:hAnsi="Gill Sans MT"/>
        </w:rPr>
        <w:lastRenderedPageBreak/>
        <w:t>2.6</w:t>
      </w:r>
      <w:r w:rsidRPr="0083096F">
        <w:rPr>
          <w:rFonts w:ascii="Gill Sans MT" w:hAnsi="Gill Sans MT"/>
        </w:rPr>
        <w:tab/>
        <w:t xml:space="preserve">Distribution of EGM </w:t>
      </w:r>
      <w:r w:rsidR="007860D1" w:rsidRPr="0083096F">
        <w:rPr>
          <w:rFonts w:ascii="Gill Sans MT" w:hAnsi="Gill Sans MT"/>
        </w:rPr>
        <w:t>R</w:t>
      </w:r>
      <w:r w:rsidRPr="0083096F">
        <w:rPr>
          <w:rFonts w:ascii="Gill Sans MT" w:hAnsi="Gill Sans MT"/>
        </w:rPr>
        <w:t>evenue</w:t>
      </w:r>
      <w:bookmarkEnd w:id="16"/>
    </w:p>
    <w:p w:rsidR="007C1D49" w:rsidRPr="0083096F" w:rsidRDefault="007C1D49" w:rsidP="007C1D49">
      <w:pPr>
        <w:rPr>
          <w:rFonts w:ascii="Gill Sans MT" w:hAnsi="Gill Sans MT" w:cs="Arial"/>
          <w:sz w:val="16"/>
          <w:szCs w:val="16"/>
        </w:rPr>
      </w:pPr>
    </w:p>
    <w:p w:rsidR="007C1D49" w:rsidRPr="0083096F" w:rsidRDefault="007C1D49" w:rsidP="007C1D49">
      <w:pPr>
        <w:rPr>
          <w:rFonts w:ascii="Gill Sans MT" w:hAnsi="Gill Sans MT" w:cs="Arial"/>
          <w:sz w:val="24"/>
        </w:rPr>
      </w:pPr>
      <w:r w:rsidRPr="0083096F">
        <w:rPr>
          <w:rFonts w:ascii="Gill Sans MT" w:hAnsi="Gill Sans MT" w:cs="Arial"/>
          <w:sz w:val="24"/>
        </w:rPr>
        <w:t>The financial arrangements in relation to the proceeds from EGMs</w:t>
      </w:r>
      <w:r w:rsidR="00710C29" w:rsidRPr="0083096F">
        <w:rPr>
          <w:rFonts w:ascii="Gill Sans MT" w:hAnsi="Gill Sans MT" w:cs="Arial"/>
          <w:sz w:val="24"/>
        </w:rPr>
        <w:t xml:space="preserve"> shifted significantly with the cessation of the Tatts/Tabcorp duopoly. Revenue is now divided between the State government and venue directly and is based on </w:t>
      </w:r>
      <w:r w:rsidR="00E43F9C" w:rsidRPr="0083096F">
        <w:rPr>
          <w:rFonts w:ascii="Gill Sans MT" w:hAnsi="Gill Sans MT" w:cs="Arial"/>
          <w:sz w:val="24"/>
        </w:rPr>
        <w:t xml:space="preserve">average losses </w:t>
      </w:r>
      <w:r w:rsidR="00710C29" w:rsidRPr="0083096F">
        <w:rPr>
          <w:rFonts w:ascii="Gill Sans MT" w:hAnsi="Gill Sans MT" w:cs="Arial"/>
          <w:sz w:val="24"/>
        </w:rPr>
        <w:t xml:space="preserve">per EGM losses at each venue. </w:t>
      </w:r>
    </w:p>
    <w:p w:rsidR="007C1D49" w:rsidRPr="0083096F" w:rsidRDefault="00710C29" w:rsidP="00E30609">
      <w:pPr>
        <w:pStyle w:val="FactSheetNormal"/>
        <w:rPr>
          <w:rFonts w:ascii="Gill Sans MT" w:hAnsi="Gill Sans MT" w:cs="Arial"/>
          <w:sz w:val="24"/>
        </w:rPr>
      </w:pPr>
      <w:r w:rsidRPr="0083096F">
        <w:rPr>
          <w:rFonts w:ascii="Gill Sans MT" w:hAnsi="Gill Sans MT" w:cs="Arial"/>
          <w:sz w:val="24"/>
        </w:rPr>
        <w:t>Histo</w:t>
      </w:r>
      <w:r w:rsidR="00F742C1" w:rsidRPr="0083096F">
        <w:rPr>
          <w:rFonts w:ascii="Gill Sans MT" w:hAnsi="Gill Sans MT" w:cs="Arial"/>
          <w:sz w:val="24"/>
        </w:rPr>
        <w:t xml:space="preserve">rically, the </w:t>
      </w:r>
      <w:r w:rsidR="00397FEA" w:rsidRPr="0083096F">
        <w:rPr>
          <w:rFonts w:ascii="Gill Sans MT" w:hAnsi="Gill Sans MT" w:cs="Arial"/>
          <w:sz w:val="24"/>
        </w:rPr>
        <w:t xml:space="preserve">State </w:t>
      </w:r>
      <w:r w:rsidR="00F742C1" w:rsidRPr="0083096F">
        <w:rPr>
          <w:rFonts w:ascii="Gill Sans MT" w:hAnsi="Gill Sans MT" w:cs="Arial"/>
          <w:sz w:val="24"/>
        </w:rPr>
        <w:t>government</w:t>
      </w:r>
      <w:r w:rsidR="00397FEA" w:rsidRPr="0083096F">
        <w:rPr>
          <w:rFonts w:ascii="Gill Sans MT" w:hAnsi="Gill Sans MT" w:cs="Arial"/>
          <w:sz w:val="24"/>
        </w:rPr>
        <w:t>’</w:t>
      </w:r>
      <w:r w:rsidR="00F742C1" w:rsidRPr="0083096F">
        <w:rPr>
          <w:rFonts w:ascii="Gill Sans MT" w:hAnsi="Gill Sans MT" w:cs="Arial"/>
          <w:sz w:val="24"/>
        </w:rPr>
        <w:t>s share o</w:t>
      </w:r>
      <w:r w:rsidRPr="0083096F">
        <w:rPr>
          <w:rFonts w:ascii="Gill Sans MT" w:hAnsi="Gill Sans MT" w:cs="Arial"/>
          <w:sz w:val="24"/>
        </w:rPr>
        <w:t>f EGM revenue has been between 36 and 38</w:t>
      </w:r>
      <w:r w:rsidR="00397FEA" w:rsidRPr="0083096F">
        <w:rPr>
          <w:rFonts w:ascii="Gill Sans MT" w:hAnsi="Gill Sans MT" w:cs="Arial"/>
          <w:sz w:val="24"/>
        </w:rPr>
        <w:t>%</w:t>
      </w:r>
      <w:r w:rsidRPr="0083096F">
        <w:rPr>
          <w:rFonts w:ascii="Gill Sans MT" w:hAnsi="Gill Sans MT" w:cs="Arial"/>
          <w:sz w:val="24"/>
        </w:rPr>
        <w:t xml:space="preserve">. </w:t>
      </w:r>
      <w:r w:rsidR="00E24A46" w:rsidRPr="0083096F">
        <w:rPr>
          <w:rFonts w:ascii="Gill Sans MT" w:hAnsi="Gill Sans MT" w:cs="Arial"/>
          <w:sz w:val="24"/>
        </w:rPr>
        <w:t>T</w:t>
      </w:r>
      <w:r w:rsidR="000C3A8A" w:rsidRPr="0083096F">
        <w:rPr>
          <w:rFonts w:ascii="Gill Sans MT" w:hAnsi="Gill Sans MT" w:cs="Arial"/>
          <w:sz w:val="24"/>
        </w:rPr>
        <w:t>he table below shows the taxation rates for machines / venues.</w:t>
      </w:r>
    </w:p>
    <w:p w:rsidR="004D0CAB" w:rsidRPr="0083096F" w:rsidRDefault="004D0CAB" w:rsidP="007C1D49">
      <w:pPr>
        <w:rPr>
          <w:rFonts w:ascii="Gill Sans MT" w:hAnsi="Gill Sans MT" w:cs="Arial"/>
          <w:sz w:val="16"/>
          <w:szCs w:val="16"/>
        </w:rPr>
      </w:pPr>
    </w:p>
    <w:p w:rsidR="004F2549" w:rsidRPr="0083096F" w:rsidRDefault="004F2549" w:rsidP="007C1D49">
      <w:pPr>
        <w:rPr>
          <w:rFonts w:ascii="Gill Sans MT" w:hAnsi="Gill Sans MT" w:cs="Arial"/>
          <w:sz w:val="24"/>
        </w:rPr>
      </w:pPr>
      <w:r w:rsidRPr="0083096F">
        <w:rPr>
          <w:rFonts w:ascii="Gill Sans MT" w:hAnsi="Gill Sans MT" w:cs="Arial"/>
          <w:sz w:val="24"/>
        </w:rPr>
        <w:t>The increases</w:t>
      </w:r>
      <w:r w:rsidR="0037069B" w:rsidRPr="0083096F">
        <w:rPr>
          <w:rFonts w:ascii="Gill Sans MT" w:hAnsi="Gill Sans MT" w:cs="Arial"/>
          <w:sz w:val="24"/>
        </w:rPr>
        <w:t xml:space="preserve"> to tax revenue raised by EGMs i</w:t>
      </w:r>
      <w:r w:rsidRPr="0083096F">
        <w:rPr>
          <w:rFonts w:ascii="Gill Sans MT" w:hAnsi="Gill Sans MT" w:cs="Arial"/>
          <w:sz w:val="24"/>
        </w:rPr>
        <w:t xml:space="preserve">llustrates the significance of </w:t>
      </w:r>
      <w:r w:rsidR="0037069B" w:rsidRPr="0083096F">
        <w:rPr>
          <w:rFonts w:ascii="Gill Sans MT" w:hAnsi="Gill Sans MT" w:cs="Arial"/>
          <w:sz w:val="24"/>
        </w:rPr>
        <w:t>this</w:t>
      </w:r>
      <w:r w:rsidRPr="0083096F">
        <w:rPr>
          <w:rFonts w:ascii="Gill Sans MT" w:hAnsi="Gill Sans MT" w:cs="Arial"/>
          <w:sz w:val="24"/>
        </w:rPr>
        <w:t xml:space="preserve"> revenue base to </w:t>
      </w:r>
      <w:r w:rsidR="0037069B" w:rsidRPr="0083096F">
        <w:rPr>
          <w:rFonts w:ascii="Gill Sans MT" w:hAnsi="Gill Sans MT" w:cs="Arial"/>
          <w:sz w:val="24"/>
        </w:rPr>
        <w:t xml:space="preserve">the </w:t>
      </w:r>
      <w:r w:rsidRPr="0083096F">
        <w:rPr>
          <w:rFonts w:ascii="Gill Sans MT" w:hAnsi="Gill Sans MT" w:cs="Arial"/>
          <w:sz w:val="24"/>
        </w:rPr>
        <w:t>Victoria</w:t>
      </w:r>
      <w:r w:rsidR="0037069B" w:rsidRPr="0083096F">
        <w:rPr>
          <w:rFonts w:ascii="Gill Sans MT" w:hAnsi="Gill Sans MT" w:cs="Arial"/>
          <w:sz w:val="24"/>
        </w:rPr>
        <w:t xml:space="preserve">n </w:t>
      </w:r>
      <w:r w:rsidR="00E30609" w:rsidRPr="0083096F">
        <w:rPr>
          <w:rFonts w:ascii="Gill Sans MT" w:hAnsi="Gill Sans MT" w:cs="Arial"/>
          <w:sz w:val="24"/>
        </w:rPr>
        <w:t>G</w:t>
      </w:r>
      <w:r w:rsidR="0037069B" w:rsidRPr="0083096F">
        <w:rPr>
          <w:rFonts w:ascii="Gill Sans MT" w:hAnsi="Gill Sans MT" w:cs="Arial"/>
          <w:sz w:val="24"/>
        </w:rPr>
        <w:t>overnment</w:t>
      </w:r>
      <w:r w:rsidRPr="0083096F">
        <w:rPr>
          <w:rFonts w:ascii="Gill Sans MT" w:hAnsi="Gill Sans MT" w:cs="Arial"/>
          <w:sz w:val="24"/>
        </w:rPr>
        <w:t xml:space="preserve">. </w:t>
      </w:r>
      <w:r w:rsidR="0037069B" w:rsidRPr="0083096F">
        <w:rPr>
          <w:rFonts w:ascii="Gill Sans MT" w:hAnsi="Gill Sans MT" w:cs="Arial"/>
          <w:sz w:val="24"/>
        </w:rPr>
        <w:t xml:space="preserve">Whilst </w:t>
      </w:r>
      <w:r w:rsidR="00A14B8A" w:rsidRPr="0083096F">
        <w:rPr>
          <w:rFonts w:ascii="Gill Sans MT" w:hAnsi="Gill Sans MT" w:cs="Arial"/>
          <w:sz w:val="24"/>
        </w:rPr>
        <w:t>hotels generate higher rates of revenue per EGM</w:t>
      </w:r>
      <w:r w:rsidR="0037069B" w:rsidRPr="0083096F">
        <w:rPr>
          <w:rFonts w:ascii="Gill Sans MT" w:hAnsi="Gill Sans MT" w:cs="Arial"/>
          <w:sz w:val="24"/>
        </w:rPr>
        <w:t xml:space="preserve"> (i.e. higher losses per machine)</w:t>
      </w:r>
      <w:r w:rsidR="00A14B8A" w:rsidRPr="0083096F">
        <w:rPr>
          <w:rFonts w:ascii="Gill Sans MT" w:hAnsi="Gill Sans MT" w:cs="Arial"/>
          <w:sz w:val="24"/>
        </w:rPr>
        <w:t xml:space="preserve">, they also pay higher rates of taxation to the State </w:t>
      </w:r>
      <w:r w:rsidR="003D1718" w:rsidRPr="0083096F">
        <w:rPr>
          <w:rFonts w:ascii="Gill Sans MT" w:hAnsi="Gill Sans MT" w:cs="Arial"/>
          <w:sz w:val="24"/>
        </w:rPr>
        <w:t>G</w:t>
      </w:r>
      <w:r w:rsidR="00A14B8A" w:rsidRPr="0083096F">
        <w:rPr>
          <w:rFonts w:ascii="Gill Sans MT" w:hAnsi="Gill Sans MT" w:cs="Arial"/>
          <w:sz w:val="24"/>
        </w:rPr>
        <w:t xml:space="preserve">overnment.  </w:t>
      </w:r>
    </w:p>
    <w:p w:rsidR="00382ED3" w:rsidRPr="0083096F" w:rsidRDefault="00382ED3" w:rsidP="00382ED3">
      <w:pPr>
        <w:pStyle w:val="Heading1"/>
        <w:spacing w:before="120"/>
        <w:rPr>
          <w:rFonts w:ascii="Gill Sans MT" w:hAnsi="Gill Sans MT"/>
          <w:color w:val="262626" w:themeColor="text1" w:themeTint="D9"/>
        </w:rPr>
      </w:pPr>
      <w:bookmarkStart w:id="17" w:name="_Toc504143046"/>
      <w:r w:rsidRPr="0083096F">
        <w:rPr>
          <w:rFonts w:ascii="Gill Sans MT" w:hAnsi="Gill Sans MT"/>
          <w:color w:val="262626" w:themeColor="text1" w:themeTint="D9"/>
        </w:rPr>
        <w:t>Table Four Part A</w:t>
      </w:r>
      <w:bookmarkEnd w:id="17"/>
      <w:r w:rsidRPr="0083096F">
        <w:rPr>
          <w:rFonts w:ascii="Gill Sans MT" w:hAnsi="Gill Sans MT"/>
          <w:color w:val="262626" w:themeColor="text1" w:themeTint="D9"/>
        </w:rPr>
        <w:t xml:space="preserve"> </w:t>
      </w:r>
    </w:p>
    <w:p w:rsidR="00382ED3" w:rsidRPr="0083096F" w:rsidRDefault="00382ED3" w:rsidP="00382ED3">
      <w:pPr>
        <w:pStyle w:val="Heading1"/>
        <w:spacing w:before="120"/>
        <w:rPr>
          <w:rFonts w:ascii="Gill Sans MT" w:hAnsi="Gill Sans MT"/>
          <w:color w:val="262626" w:themeColor="text1" w:themeTint="D9"/>
        </w:rPr>
      </w:pPr>
      <w:bookmarkStart w:id="18" w:name="_Toc504143047"/>
      <w:r w:rsidRPr="0083096F">
        <w:rPr>
          <w:rFonts w:ascii="Gill Sans MT" w:hAnsi="Gill Sans MT"/>
          <w:color w:val="262626" w:themeColor="text1" w:themeTint="D9"/>
        </w:rPr>
        <w:t>State Government Revenue and Legislated Rate of Return by Venue Type</w:t>
      </w:r>
      <w:bookmarkEnd w:id="18"/>
    </w:p>
    <w:tbl>
      <w:tblPr>
        <w:tblStyle w:val="LightShading-Accent1"/>
        <w:tblW w:w="9314" w:type="dxa"/>
        <w:tblLook w:val="04A0" w:firstRow="1" w:lastRow="0" w:firstColumn="1" w:lastColumn="0" w:noHBand="0" w:noVBand="1"/>
      </w:tblPr>
      <w:tblGrid>
        <w:gridCol w:w="4562"/>
        <w:gridCol w:w="4752"/>
      </w:tblGrid>
      <w:tr w:rsidR="00382ED3" w:rsidRPr="0083096F" w:rsidTr="0020718C">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562" w:type="dxa"/>
            <w:hideMark/>
          </w:tcPr>
          <w:p w:rsidR="00382ED3" w:rsidRPr="0083096F" w:rsidRDefault="00382ED3" w:rsidP="00145B10">
            <w:pPr>
              <w:spacing w:before="60" w:after="60"/>
              <w:jc w:val="center"/>
              <w:rPr>
                <w:rFonts w:ascii="Gill Sans MT" w:hAnsi="Gill Sans MT" w:cs="Arial"/>
                <w:b w:val="0"/>
                <w:sz w:val="28"/>
                <w:szCs w:val="28"/>
              </w:rPr>
            </w:pPr>
            <w:r w:rsidRPr="0083096F">
              <w:rPr>
                <w:rFonts w:ascii="Gill Sans MT" w:hAnsi="Gill Sans MT" w:cs="Arial"/>
                <w:sz w:val="28"/>
                <w:szCs w:val="28"/>
              </w:rPr>
              <w:t>Current EGM tax rates</w:t>
            </w:r>
          </w:p>
        </w:tc>
        <w:tc>
          <w:tcPr>
            <w:tcW w:w="4752" w:type="dxa"/>
            <w:hideMark/>
          </w:tcPr>
          <w:p w:rsidR="00382ED3" w:rsidRPr="0083096F" w:rsidRDefault="00382ED3" w:rsidP="00145B10">
            <w:pPr>
              <w:spacing w:before="60" w:after="60"/>
              <w:ind w:left="-108"/>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b w:val="0"/>
                <w:bCs w:val="0"/>
                <w:color w:val="FFC000"/>
                <w:sz w:val="28"/>
                <w:szCs w:val="28"/>
              </w:rPr>
            </w:pPr>
          </w:p>
        </w:tc>
      </w:tr>
      <w:tr w:rsidR="00382ED3" w:rsidRPr="0083096F" w:rsidTr="0020718C">
        <w:trPr>
          <w:cnfStyle w:val="000000100000" w:firstRow="0" w:lastRow="0" w:firstColumn="0" w:lastColumn="0" w:oddVBand="0" w:evenVBand="0" w:oddHBand="1" w:evenHBand="0" w:firstRowFirstColumn="0" w:firstRowLastColumn="0" w:lastRowFirstColumn="0" w:lastRowLastColumn="0"/>
          <w:trHeight w:val="3243"/>
        </w:trPr>
        <w:tc>
          <w:tcPr>
            <w:cnfStyle w:val="001000000000" w:firstRow="0" w:lastRow="0" w:firstColumn="1" w:lastColumn="0" w:oddVBand="0" w:evenVBand="0" w:oddHBand="0" w:evenHBand="0" w:firstRowFirstColumn="0" w:firstRowLastColumn="0" w:lastRowFirstColumn="0" w:lastRowLastColumn="0"/>
            <w:tcW w:w="4562" w:type="dxa"/>
          </w:tcPr>
          <w:p w:rsidR="00382ED3" w:rsidRPr="0083096F" w:rsidRDefault="00382ED3" w:rsidP="00145B10">
            <w:pPr>
              <w:spacing w:before="60" w:after="60"/>
              <w:rPr>
                <w:rFonts w:ascii="Gill Sans MT" w:hAnsi="Gill Sans MT" w:cs="Arial"/>
                <w:b w:val="0"/>
                <w:sz w:val="24"/>
              </w:rPr>
            </w:pPr>
            <w:r w:rsidRPr="0083096F">
              <w:rPr>
                <w:rFonts w:ascii="Gill Sans MT" w:hAnsi="Gill Sans MT" w:cs="Arial"/>
                <w:sz w:val="24"/>
                <w:u w:val="single"/>
              </w:rPr>
              <w:t>Club venue operators</w:t>
            </w:r>
          </w:p>
          <w:p w:rsidR="00382ED3" w:rsidRPr="0083096F" w:rsidRDefault="00382ED3" w:rsidP="00145B10">
            <w:pPr>
              <w:spacing w:before="60" w:after="60"/>
              <w:rPr>
                <w:rFonts w:ascii="Gill Sans MT" w:hAnsi="Gill Sans MT" w:cs="Arial"/>
                <w:b w:val="0"/>
                <w:sz w:val="24"/>
              </w:rPr>
            </w:pPr>
            <w:r w:rsidRPr="0083096F">
              <w:rPr>
                <w:rFonts w:ascii="Gill Sans MT" w:hAnsi="Gill Sans MT" w:cs="Arial"/>
                <w:b w:val="0"/>
                <w:sz w:val="24"/>
              </w:rPr>
              <w:t xml:space="preserve">Tax is a function of monthly average-per-EGM player loss. </w:t>
            </w:r>
          </w:p>
          <w:p w:rsidR="00382ED3" w:rsidRPr="0083096F" w:rsidRDefault="00382ED3" w:rsidP="00145B10">
            <w:pPr>
              <w:spacing w:before="60" w:after="60"/>
              <w:rPr>
                <w:rFonts w:ascii="Gill Sans MT" w:hAnsi="Gill Sans MT" w:cs="Arial"/>
                <w:b w:val="0"/>
                <w:sz w:val="24"/>
              </w:rPr>
            </w:pPr>
            <w:r w:rsidRPr="0083096F">
              <w:rPr>
                <w:rFonts w:ascii="Gill Sans MT" w:hAnsi="Gill Sans MT" w:cs="Arial"/>
                <w:b w:val="0"/>
                <w:sz w:val="24"/>
              </w:rPr>
              <w:t>For that part of the monthly average player loss which:</w:t>
            </w:r>
          </w:p>
          <w:p w:rsidR="00382ED3" w:rsidRPr="0083096F" w:rsidRDefault="00382ED3" w:rsidP="00145B10">
            <w:pPr>
              <w:numPr>
                <w:ilvl w:val="0"/>
                <w:numId w:val="12"/>
              </w:numPr>
              <w:spacing w:before="60" w:after="60"/>
              <w:rPr>
                <w:rFonts w:ascii="Gill Sans MT" w:hAnsi="Gill Sans MT" w:cs="Arial"/>
                <w:b w:val="0"/>
                <w:sz w:val="24"/>
              </w:rPr>
            </w:pPr>
            <w:r w:rsidRPr="0083096F">
              <w:rPr>
                <w:rFonts w:ascii="Gill Sans MT" w:hAnsi="Gill Sans MT" w:cs="Arial"/>
                <w:b w:val="0"/>
                <w:sz w:val="24"/>
              </w:rPr>
              <w:t>Does not exceed $2,666, the tax rate is 0.00%.</w:t>
            </w:r>
          </w:p>
          <w:p w:rsidR="00382ED3" w:rsidRPr="0083096F" w:rsidRDefault="00382ED3" w:rsidP="00145B10">
            <w:pPr>
              <w:numPr>
                <w:ilvl w:val="0"/>
                <w:numId w:val="12"/>
              </w:numPr>
              <w:spacing w:before="60" w:after="60"/>
              <w:rPr>
                <w:rFonts w:ascii="Gill Sans MT" w:hAnsi="Gill Sans MT" w:cs="Arial"/>
                <w:b w:val="0"/>
                <w:sz w:val="24"/>
              </w:rPr>
            </w:pPr>
            <w:r w:rsidRPr="0083096F">
              <w:rPr>
                <w:rFonts w:ascii="Gill Sans MT" w:hAnsi="Gill Sans MT" w:cs="Arial"/>
                <w:b w:val="0"/>
                <w:sz w:val="24"/>
              </w:rPr>
              <w:t xml:space="preserve">Exceeds $2,666 but does not exceed $12,500, the tax rate is </w:t>
            </w:r>
            <w:r w:rsidRPr="0083096F">
              <w:rPr>
                <w:rFonts w:ascii="Gill Sans MT" w:hAnsi="Gill Sans MT" w:cs="Arial"/>
                <w:sz w:val="24"/>
              </w:rPr>
              <w:t>46.7%.</w:t>
            </w:r>
          </w:p>
          <w:p w:rsidR="00382ED3" w:rsidRPr="0083096F" w:rsidRDefault="00382ED3" w:rsidP="00145B10">
            <w:pPr>
              <w:numPr>
                <w:ilvl w:val="0"/>
                <w:numId w:val="12"/>
              </w:numPr>
              <w:spacing w:before="60" w:after="60"/>
              <w:rPr>
                <w:rFonts w:ascii="Gill Sans MT" w:hAnsi="Gill Sans MT" w:cs="Arial"/>
                <w:sz w:val="24"/>
              </w:rPr>
            </w:pPr>
            <w:r w:rsidRPr="0083096F">
              <w:rPr>
                <w:rFonts w:ascii="Gill Sans MT" w:hAnsi="Gill Sans MT" w:cs="Arial"/>
                <w:b w:val="0"/>
                <w:sz w:val="24"/>
              </w:rPr>
              <w:t xml:space="preserve">Exceeds $12,500, the tax rate is </w:t>
            </w:r>
            <w:r w:rsidRPr="0083096F">
              <w:rPr>
                <w:rFonts w:ascii="Gill Sans MT" w:hAnsi="Gill Sans MT" w:cs="Arial"/>
                <w:sz w:val="24"/>
              </w:rPr>
              <w:t>54.20%.</w:t>
            </w:r>
          </w:p>
        </w:tc>
        <w:tc>
          <w:tcPr>
            <w:tcW w:w="4752" w:type="dxa"/>
          </w:tcPr>
          <w:p w:rsidR="00382ED3" w:rsidRPr="0083096F" w:rsidRDefault="00382ED3" w:rsidP="00145B10">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Arial"/>
                <w:b/>
                <w:sz w:val="24"/>
              </w:rPr>
            </w:pPr>
          </w:p>
        </w:tc>
      </w:tr>
    </w:tbl>
    <w:p w:rsidR="00382ED3" w:rsidRPr="0083096F" w:rsidRDefault="00382ED3" w:rsidP="00382ED3">
      <w:pPr>
        <w:rPr>
          <w:rFonts w:ascii="Gill Sans MT" w:hAnsi="Gill Sans MT"/>
        </w:rPr>
      </w:pPr>
    </w:p>
    <w:p w:rsidR="00382ED3" w:rsidRPr="0083096F" w:rsidRDefault="00382ED3" w:rsidP="00382ED3">
      <w:pPr>
        <w:pStyle w:val="Heading1"/>
        <w:spacing w:before="120"/>
        <w:rPr>
          <w:rFonts w:ascii="Gill Sans MT" w:hAnsi="Gill Sans MT"/>
          <w:color w:val="262626" w:themeColor="text1" w:themeTint="D9"/>
        </w:rPr>
      </w:pPr>
      <w:bookmarkStart w:id="19" w:name="_Toc504143048"/>
      <w:r w:rsidRPr="0083096F">
        <w:rPr>
          <w:rFonts w:ascii="Gill Sans MT" w:hAnsi="Gill Sans MT"/>
          <w:color w:val="262626" w:themeColor="text1" w:themeTint="D9"/>
        </w:rPr>
        <w:t>Table Four Part B</w:t>
      </w:r>
      <w:bookmarkEnd w:id="19"/>
    </w:p>
    <w:p w:rsidR="00382ED3" w:rsidRPr="0083096F" w:rsidRDefault="00382ED3" w:rsidP="00382ED3">
      <w:pPr>
        <w:pStyle w:val="Heading1"/>
        <w:spacing w:before="120"/>
        <w:rPr>
          <w:rFonts w:ascii="Gill Sans MT" w:hAnsi="Gill Sans MT"/>
          <w:color w:val="262626" w:themeColor="text1" w:themeTint="D9"/>
        </w:rPr>
      </w:pPr>
      <w:bookmarkStart w:id="20" w:name="_Toc504143049"/>
      <w:r w:rsidRPr="0083096F">
        <w:rPr>
          <w:rFonts w:ascii="Gill Sans MT" w:hAnsi="Gill Sans MT"/>
          <w:color w:val="262626" w:themeColor="text1" w:themeTint="D9"/>
        </w:rPr>
        <w:t>State Government Revenue and Legislated Rate of Return by Venue Type</w:t>
      </w:r>
      <w:bookmarkEnd w:id="20"/>
    </w:p>
    <w:tbl>
      <w:tblPr>
        <w:tblStyle w:val="LightShading-Accent4"/>
        <w:tblW w:w="9267" w:type="dxa"/>
        <w:tblLook w:val="04A0" w:firstRow="1" w:lastRow="0" w:firstColumn="1" w:lastColumn="0" w:noHBand="0" w:noVBand="1"/>
      </w:tblPr>
      <w:tblGrid>
        <w:gridCol w:w="4475"/>
        <w:gridCol w:w="4792"/>
      </w:tblGrid>
      <w:tr w:rsidR="00382ED3" w:rsidRPr="0083096F" w:rsidTr="00986011">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475" w:type="dxa"/>
            <w:hideMark/>
          </w:tcPr>
          <w:p w:rsidR="00382ED3" w:rsidRPr="0083096F" w:rsidRDefault="00382ED3" w:rsidP="00145B10">
            <w:pPr>
              <w:spacing w:before="60" w:after="60"/>
              <w:jc w:val="center"/>
              <w:rPr>
                <w:rFonts w:ascii="Gill Sans MT" w:hAnsi="Gill Sans MT" w:cs="Arial"/>
                <w:sz w:val="28"/>
                <w:szCs w:val="28"/>
              </w:rPr>
            </w:pPr>
            <w:r w:rsidRPr="0083096F">
              <w:rPr>
                <w:rFonts w:ascii="Gill Sans MT" w:hAnsi="Gill Sans MT" w:cs="Arial"/>
                <w:sz w:val="28"/>
                <w:szCs w:val="28"/>
              </w:rPr>
              <w:t>Current EGM tax rates</w:t>
            </w:r>
          </w:p>
        </w:tc>
        <w:tc>
          <w:tcPr>
            <w:tcW w:w="4792" w:type="dxa"/>
            <w:hideMark/>
          </w:tcPr>
          <w:p w:rsidR="00382ED3" w:rsidRPr="0083096F" w:rsidRDefault="00382ED3" w:rsidP="00145B10">
            <w:pPr>
              <w:spacing w:before="60" w:after="60"/>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bCs w:val="0"/>
                <w:color w:val="FFC000"/>
                <w:sz w:val="28"/>
                <w:szCs w:val="28"/>
              </w:rPr>
            </w:pPr>
          </w:p>
        </w:tc>
      </w:tr>
      <w:tr w:rsidR="00382ED3" w:rsidRPr="0083096F" w:rsidTr="0098601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475" w:type="dxa"/>
            <w:hideMark/>
          </w:tcPr>
          <w:p w:rsidR="00382ED3" w:rsidRPr="0083096F" w:rsidRDefault="00382ED3" w:rsidP="00145B10">
            <w:pPr>
              <w:spacing w:before="60" w:after="60"/>
              <w:rPr>
                <w:rFonts w:ascii="Gill Sans MT" w:hAnsi="Gill Sans MT" w:cs="Arial"/>
                <w:b w:val="0"/>
                <w:sz w:val="24"/>
                <w:szCs w:val="24"/>
              </w:rPr>
            </w:pPr>
            <w:r w:rsidRPr="0083096F">
              <w:rPr>
                <w:rFonts w:ascii="Gill Sans MT" w:hAnsi="Gill Sans MT" w:cs="Arial"/>
                <w:sz w:val="24"/>
                <w:szCs w:val="24"/>
                <w:u w:val="single"/>
              </w:rPr>
              <w:t>Hotel venue operators</w:t>
            </w:r>
          </w:p>
          <w:p w:rsidR="00382ED3" w:rsidRPr="0083096F" w:rsidRDefault="00382ED3" w:rsidP="00145B10">
            <w:pPr>
              <w:spacing w:before="60" w:after="60"/>
              <w:rPr>
                <w:rFonts w:ascii="Gill Sans MT" w:hAnsi="Gill Sans MT" w:cs="Arial"/>
                <w:b w:val="0"/>
                <w:sz w:val="24"/>
                <w:szCs w:val="24"/>
              </w:rPr>
            </w:pPr>
            <w:r w:rsidRPr="0083096F">
              <w:rPr>
                <w:rFonts w:ascii="Gill Sans MT" w:hAnsi="Gill Sans MT" w:cs="Arial"/>
                <w:b w:val="0"/>
                <w:sz w:val="24"/>
                <w:szCs w:val="24"/>
              </w:rPr>
              <w:t xml:space="preserve">Tax is a function of monthly average-per-EGM player loss. </w:t>
            </w:r>
          </w:p>
          <w:p w:rsidR="00382ED3" w:rsidRPr="0083096F" w:rsidRDefault="00382ED3" w:rsidP="00145B10">
            <w:pPr>
              <w:spacing w:before="60" w:after="60"/>
              <w:rPr>
                <w:rFonts w:ascii="Gill Sans MT" w:hAnsi="Gill Sans MT" w:cs="Arial"/>
                <w:b w:val="0"/>
                <w:sz w:val="24"/>
                <w:szCs w:val="24"/>
              </w:rPr>
            </w:pPr>
            <w:r w:rsidRPr="0083096F">
              <w:rPr>
                <w:rFonts w:ascii="Gill Sans MT" w:hAnsi="Gill Sans MT" w:cs="Arial"/>
                <w:b w:val="0"/>
                <w:sz w:val="24"/>
                <w:szCs w:val="24"/>
              </w:rPr>
              <w:t>For that part of the monthly average player loss which:</w:t>
            </w:r>
          </w:p>
          <w:p w:rsidR="00382ED3" w:rsidRPr="0083096F" w:rsidRDefault="00382ED3" w:rsidP="00145B10">
            <w:pPr>
              <w:numPr>
                <w:ilvl w:val="0"/>
                <w:numId w:val="13"/>
              </w:numPr>
              <w:spacing w:before="60" w:after="60"/>
              <w:rPr>
                <w:rFonts w:ascii="Gill Sans MT" w:hAnsi="Gill Sans MT" w:cs="Arial"/>
                <w:b w:val="0"/>
                <w:sz w:val="24"/>
                <w:szCs w:val="24"/>
              </w:rPr>
            </w:pPr>
            <w:r w:rsidRPr="0083096F">
              <w:rPr>
                <w:rFonts w:ascii="Gill Sans MT" w:hAnsi="Gill Sans MT" w:cs="Arial"/>
                <w:b w:val="0"/>
                <w:sz w:val="24"/>
                <w:szCs w:val="24"/>
              </w:rPr>
              <w:t xml:space="preserve">Does not exceed $2,666, the tax rate is </w:t>
            </w:r>
            <w:r w:rsidRPr="0083096F">
              <w:rPr>
                <w:rFonts w:ascii="Gill Sans MT" w:hAnsi="Gill Sans MT" w:cs="Arial"/>
                <w:sz w:val="24"/>
                <w:szCs w:val="24"/>
              </w:rPr>
              <w:t>8.33%.</w:t>
            </w:r>
          </w:p>
          <w:p w:rsidR="00382ED3" w:rsidRPr="0083096F" w:rsidRDefault="00382ED3" w:rsidP="00145B10">
            <w:pPr>
              <w:numPr>
                <w:ilvl w:val="0"/>
                <w:numId w:val="13"/>
              </w:numPr>
              <w:spacing w:before="60" w:after="60"/>
              <w:rPr>
                <w:rFonts w:ascii="Gill Sans MT" w:hAnsi="Gill Sans MT" w:cs="Arial"/>
                <w:b w:val="0"/>
                <w:sz w:val="24"/>
                <w:szCs w:val="24"/>
              </w:rPr>
            </w:pPr>
            <w:r w:rsidRPr="0083096F">
              <w:rPr>
                <w:rFonts w:ascii="Gill Sans MT" w:hAnsi="Gill Sans MT" w:cs="Arial"/>
                <w:b w:val="0"/>
                <w:sz w:val="24"/>
                <w:szCs w:val="24"/>
              </w:rPr>
              <w:t xml:space="preserve">Exceeds $2,666 but does not exceed $12,500, the tax rate is </w:t>
            </w:r>
            <w:r w:rsidRPr="0083096F">
              <w:rPr>
                <w:rFonts w:ascii="Gill Sans MT" w:hAnsi="Gill Sans MT" w:cs="Arial"/>
                <w:sz w:val="24"/>
                <w:szCs w:val="24"/>
              </w:rPr>
              <w:t>55.03%.</w:t>
            </w:r>
          </w:p>
          <w:p w:rsidR="00382ED3" w:rsidRPr="0083096F" w:rsidRDefault="00382ED3" w:rsidP="00145B10">
            <w:pPr>
              <w:numPr>
                <w:ilvl w:val="0"/>
                <w:numId w:val="13"/>
              </w:numPr>
              <w:spacing w:before="60" w:after="60"/>
              <w:rPr>
                <w:rFonts w:ascii="Gill Sans MT" w:hAnsi="Gill Sans MT" w:cs="Arial"/>
                <w:sz w:val="24"/>
                <w:szCs w:val="24"/>
              </w:rPr>
            </w:pPr>
            <w:r w:rsidRPr="0083096F">
              <w:rPr>
                <w:rFonts w:ascii="Gill Sans MT" w:hAnsi="Gill Sans MT" w:cs="Arial"/>
                <w:b w:val="0"/>
                <w:sz w:val="24"/>
                <w:szCs w:val="24"/>
              </w:rPr>
              <w:t xml:space="preserve">Exceeds $12,500, the tax rate is </w:t>
            </w:r>
            <w:r w:rsidRPr="0083096F">
              <w:rPr>
                <w:rFonts w:ascii="Gill Sans MT" w:hAnsi="Gill Sans MT" w:cs="Arial"/>
                <w:sz w:val="24"/>
                <w:szCs w:val="24"/>
              </w:rPr>
              <w:t>62.53%.</w:t>
            </w:r>
          </w:p>
        </w:tc>
        <w:tc>
          <w:tcPr>
            <w:tcW w:w="4792" w:type="dxa"/>
          </w:tcPr>
          <w:p w:rsidR="00986011" w:rsidRPr="0083096F" w:rsidRDefault="00986011" w:rsidP="00145B10">
            <w:pPr>
              <w:spacing w:before="60" w:after="60"/>
              <w:cnfStyle w:val="000000100000" w:firstRow="0" w:lastRow="0" w:firstColumn="0" w:lastColumn="0" w:oddVBand="0" w:evenVBand="0" w:oddHBand="1" w:evenHBand="0" w:firstRowFirstColumn="0" w:firstRowLastColumn="0" w:lastRowFirstColumn="0" w:lastRowLastColumn="0"/>
              <w:rPr>
                <w:rFonts w:ascii="Gill Sans MT" w:hAnsi="Gill Sans MT" w:cs="Arial"/>
                <w:b/>
                <w:sz w:val="24"/>
                <w:szCs w:val="24"/>
              </w:rPr>
            </w:pPr>
          </w:p>
          <w:p w:rsidR="00986011" w:rsidRPr="0083096F" w:rsidRDefault="00986011" w:rsidP="00986011">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p>
          <w:p w:rsidR="00986011" w:rsidRPr="0083096F" w:rsidRDefault="00986011" w:rsidP="00986011">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p>
          <w:p w:rsidR="00986011" w:rsidRPr="0083096F" w:rsidRDefault="00986011" w:rsidP="00986011">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p>
          <w:p w:rsidR="00986011" w:rsidRPr="0083096F" w:rsidRDefault="00986011" w:rsidP="00986011">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p>
          <w:p w:rsidR="00986011" w:rsidRPr="0083096F" w:rsidRDefault="00986011" w:rsidP="00986011">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p>
          <w:p w:rsidR="00986011" w:rsidRPr="0083096F" w:rsidRDefault="00986011" w:rsidP="00986011">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p>
          <w:p w:rsidR="00382ED3" w:rsidRPr="0083096F" w:rsidRDefault="00382ED3" w:rsidP="00986011">
            <w:pPr>
              <w:cnfStyle w:val="000000100000" w:firstRow="0" w:lastRow="0" w:firstColumn="0" w:lastColumn="0" w:oddVBand="0" w:evenVBand="0" w:oddHBand="1" w:evenHBand="0" w:firstRowFirstColumn="0" w:firstRowLastColumn="0" w:lastRowFirstColumn="0" w:lastRowLastColumn="0"/>
              <w:rPr>
                <w:rFonts w:ascii="Gill Sans MT" w:hAnsi="Gill Sans MT" w:cs="Arial"/>
                <w:sz w:val="24"/>
                <w:szCs w:val="24"/>
              </w:rPr>
            </w:pPr>
          </w:p>
        </w:tc>
      </w:tr>
    </w:tbl>
    <w:p w:rsidR="00382ED3" w:rsidRPr="0083096F" w:rsidRDefault="00382ED3" w:rsidP="00382ED3">
      <w:pPr>
        <w:rPr>
          <w:rFonts w:ascii="Gill Sans MT" w:hAnsi="Gill Sans MT" w:cs="Arial"/>
          <w:b/>
          <w:sz w:val="24"/>
          <w:szCs w:val="24"/>
        </w:rPr>
      </w:pPr>
      <w:r w:rsidRPr="0083096F">
        <w:rPr>
          <w:rFonts w:ascii="Gill Sans MT" w:hAnsi="Gill Sans MT" w:cs="Arial"/>
          <w:b/>
          <w:sz w:val="24"/>
          <w:szCs w:val="24"/>
        </w:rPr>
        <w:lastRenderedPageBreak/>
        <w:t>EGM Revenue Allocation</w:t>
      </w:r>
    </w:p>
    <w:p w:rsidR="00382ED3" w:rsidRPr="0083096F" w:rsidRDefault="00382ED3" w:rsidP="00382ED3">
      <w:pPr>
        <w:rPr>
          <w:rFonts w:ascii="Gill Sans MT" w:hAnsi="Gill Sans MT" w:cs="Arial"/>
          <w:sz w:val="24"/>
          <w:szCs w:val="24"/>
        </w:rPr>
      </w:pPr>
      <w:r w:rsidRPr="0083096F">
        <w:rPr>
          <w:rFonts w:ascii="Gill Sans MT" w:hAnsi="Gill Sans MT" w:cs="Arial"/>
          <w:i/>
          <w:sz w:val="24"/>
          <w:szCs w:val="24"/>
        </w:rPr>
        <w:t>The way in which the tax is applied to the average revenue for each machine may provide a perverse incentive for venues to increase the number of machines they operate.</w:t>
      </w:r>
      <w:r w:rsidRPr="0083096F">
        <w:rPr>
          <w:rFonts w:ascii="Gill Sans MT" w:hAnsi="Gill Sans MT" w:cs="Arial"/>
          <w:sz w:val="24"/>
          <w:szCs w:val="24"/>
        </w:rPr>
        <w:t xml:space="preserve"> This is because the same losses spread over a larger number of machines will result in a lower taxation bill. In relation to clubs in particular, each machine can make $2666 per month on a tax free threshold.  However, it should be noted that any taxation bill may be offset by licencing fees and purchasing or hire cost for each machine and other running and associated operating costs.  </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b/>
          <w:sz w:val="24"/>
          <w:szCs w:val="24"/>
        </w:rPr>
      </w:pPr>
      <w:r w:rsidRPr="0083096F">
        <w:rPr>
          <w:rFonts w:ascii="Gill Sans MT" w:hAnsi="Gill Sans MT" w:cs="Arial"/>
          <w:b/>
          <w:sz w:val="24"/>
          <w:szCs w:val="24"/>
        </w:rPr>
        <w:t xml:space="preserve">Hotels </w:t>
      </w:r>
    </w:p>
    <w:p w:rsidR="00382ED3" w:rsidRPr="0083096F" w:rsidRDefault="00382ED3" w:rsidP="00382ED3">
      <w:pPr>
        <w:rPr>
          <w:rFonts w:ascii="Gill Sans MT" w:hAnsi="Gill Sans MT" w:cs="Arial"/>
          <w:i/>
          <w:sz w:val="24"/>
          <w:szCs w:val="24"/>
        </w:rPr>
      </w:pPr>
      <w:r w:rsidRPr="0083096F">
        <w:rPr>
          <w:rFonts w:ascii="Gill Sans MT" w:hAnsi="Gill Sans MT" w:cs="Arial"/>
          <w:sz w:val="24"/>
          <w:szCs w:val="24"/>
        </w:rPr>
        <w:t xml:space="preserve">Hotels pay higher rates of tax with the difference being contributed to the State Government </w:t>
      </w:r>
      <w:r w:rsidRPr="0083096F">
        <w:rPr>
          <w:rFonts w:ascii="Gill Sans MT" w:hAnsi="Gill Sans MT" w:cs="Arial"/>
          <w:b/>
          <w:sz w:val="24"/>
          <w:szCs w:val="24"/>
        </w:rPr>
        <w:t>Community Support Fund</w:t>
      </w:r>
      <w:r w:rsidRPr="0083096F">
        <w:rPr>
          <w:rFonts w:ascii="Gill Sans MT" w:hAnsi="Gill Sans MT" w:cs="Arial"/>
          <w:sz w:val="24"/>
          <w:szCs w:val="24"/>
        </w:rPr>
        <w:t xml:space="preserve"> (CSF). The higher tax rates are effectively a reconfiguration of the additional 8.33% tax that hotels used to pay to the CSF.  </w:t>
      </w:r>
      <w:r w:rsidRPr="0083096F">
        <w:rPr>
          <w:rFonts w:ascii="Gill Sans MT" w:hAnsi="Gill Sans MT" w:cs="Arial"/>
          <w:i/>
          <w:sz w:val="24"/>
          <w:szCs w:val="24"/>
        </w:rPr>
        <w:t xml:space="preserve">While some of the CSF money eventually flows back to the community, there is no direct correlation between the funds provided to the CSF and the return of funds to the local community from which they were derived.  </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b/>
          <w:sz w:val="24"/>
          <w:szCs w:val="24"/>
        </w:rPr>
      </w:pPr>
      <w:r w:rsidRPr="0083096F">
        <w:rPr>
          <w:rFonts w:ascii="Gill Sans MT" w:hAnsi="Gill Sans MT" w:cs="Arial"/>
          <w:b/>
          <w:sz w:val="24"/>
          <w:szCs w:val="24"/>
        </w:rPr>
        <w:t>Clubs</w:t>
      </w: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 xml:space="preserve">Clubs are exempt from the compulsory </w:t>
      </w:r>
      <w:r w:rsidRPr="0083096F">
        <w:rPr>
          <w:rFonts w:ascii="Gill Sans MT" w:hAnsi="Gill Sans MT" w:cs="Arial"/>
          <w:b/>
          <w:sz w:val="24"/>
          <w:szCs w:val="24"/>
        </w:rPr>
        <w:t>Community Support Fund</w:t>
      </w:r>
      <w:r w:rsidRPr="0083096F">
        <w:rPr>
          <w:rFonts w:ascii="Gill Sans MT" w:hAnsi="Gill Sans MT" w:cs="Arial"/>
          <w:sz w:val="24"/>
          <w:szCs w:val="24"/>
        </w:rPr>
        <w:t xml:space="preserve"> contribution.  Instead they are required to submit to the VCGLR an annual Community Benefit Statement to demonstrate the community purposes to which the revenue earned from EGMs is applied.  The Clubs are expected to show that this contribution meets or exceeds the 8.33%.</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The definition of ‘</w:t>
      </w:r>
      <w:r w:rsidRPr="0083096F">
        <w:rPr>
          <w:rFonts w:ascii="Gill Sans MT" w:hAnsi="Gill Sans MT" w:cs="Arial"/>
          <w:i/>
          <w:sz w:val="24"/>
          <w:szCs w:val="24"/>
        </w:rPr>
        <w:t>community benefit’</w:t>
      </w:r>
      <w:r w:rsidRPr="0083096F">
        <w:rPr>
          <w:rFonts w:ascii="Gill Sans MT" w:hAnsi="Gill Sans MT" w:cs="Arial"/>
          <w:sz w:val="24"/>
          <w:szCs w:val="24"/>
        </w:rPr>
        <w:t xml:space="preserve"> applied by the State Government is exceedingly broad and includes such things as staff employment costs, subsidised meals, beverages and venue hire, and facility (fixed asset) upgrades.   </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A review of community benefit statements submitted by Clubs in 201</w:t>
      </w:r>
      <w:r w:rsidR="00511FC6" w:rsidRPr="0083096F">
        <w:rPr>
          <w:rFonts w:ascii="Gill Sans MT" w:hAnsi="Gill Sans MT" w:cs="Arial"/>
          <w:sz w:val="24"/>
          <w:szCs w:val="24"/>
        </w:rPr>
        <w:t>6</w:t>
      </w:r>
      <w:r w:rsidRPr="0083096F">
        <w:rPr>
          <w:rFonts w:ascii="Gill Sans MT" w:hAnsi="Gill Sans MT" w:cs="Arial"/>
          <w:sz w:val="24"/>
          <w:szCs w:val="24"/>
        </w:rPr>
        <w:t>/1</w:t>
      </w:r>
      <w:r w:rsidR="00511FC6" w:rsidRPr="0083096F">
        <w:rPr>
          <w:rFonts w:ascii="Gill Sans MT" w:hAnsi="Gill Sans MT" w:cs="Arial"/>
          <w:sz w:val="24"/>
          <w:szCs w:val="24"/>
        </w:rPr>
        <w:t>7</w:t>
      </w:r>
      <w:r w:rsidRPr="0083096F">
        <w:rPr>
          <w:rFonts w:ascii="Gill Sans MT" w:hAnsi="Gill Sans MT" w:cs="Arial"/>
          <w:sz w:val="24"/>
          <w:szCs w:val="24"/>
        </w:rPr>
        <w:t xml:space="preserve"> for Banyule shows that a majority of funds continues to be spent on “operating costs” which return little benefit to the broader community. However, there is significant variation in the manner of allocation of community benefit between clubs, which the Council may consider acknowledging in some way. </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Some clubs do make a significant contribution to the community through the provision of formal and informal support services, social activities, and sporting activities.  This contribution is reflected in the attributed value of the volunteer hours provided by these organisations.  While this contribution is substantial, it is an imputed expenditure and does not constitute a direct return of gaming revenue to the community.</w:t>
      </w:r>
    </w:p>
    <w:p w:rsidR="00382ED3" w:rsidRPr="0083096F" w:rsidRDefault="00382ED3" w:rsidP="00382ED3">
      <w:pPr>
        <w:rPr>
          <w:rFonts w:ascii="Gill Sans MT" w:hAnsi="Gill Sans MT" w:cs="Arial"/>
        </w:rPr>
      </w:pPr>
    </w:p>
    <w:p w:rsidR="00382ED3" w:rsidRPr="0083096F" w:rsidRDefault="00382ED3" w:rsidP="00382ED3">
      <w:pPr>
        <w:pStyle w:val="Heading1"/>
        <w:spacing w:before="120"/>
        <w:rPr>
          <w:rFonts w:ascii="Gill Sans MT" w:hAnsi="Gill Sans MT"/>
        </w:rPr>
      </w:pPr>
      <w:bookmarkStart w:id="21" w:name="_Toc504143050"/>
      <w:r w:rsidRPr="0083096F">
        <w:rPr>
          <w:rFonts w:ascii="Gill Sans MT" w:hAnsi="Gill Sans MT"/>
        </w:rPr>
        <w:t>2.7 The Evolution of Grants and Trusts Funds</w:t>
      </w:r>
      <w:bookmarkEnd w:id="21"/>
      <w:r w:rsidRPr="0083096F">
        <w:rPr>
          <w:rFonts w:ascii="Gill Sans MT" w:hAnsi="Gill Sans MT"/>
        </w:rPr>
        <w:t xml:space="preserve"> </w:t>
      </w:r>
    </w:p>
    <w:p w:rsidR="00DF46F7" w:rsidRPr="0083096F" w:rsidRDefault="00DF46F7" w:rsidP="00DF46F7">
      <w:pPr>
        <w:rPr>
          <w:rFonts w:ascii="Gill Sans MT" w:eastAsiaTheme="minorHAnsi" w:hAnsi="Gill Sans MT"/>
          <w:sz w:val="24"/>
          <w:szCs w:val="24"/>
        </w:rPr>
      </w:pPr>
    </w:p>
    <w:p w:rsidR="00DF46F7" w:rsidRPr="0083096F" w:rsidRDefault="00DF46F7" w:rsidP="00DF46F7">
      <w:pPr>
        <w:rPr>
          <w:rFonts w:ascii="Gill Sans MT" w:hAnsi="Gill Sans MT"/>
          <w:sz w:val="24"/>
          <w:szCs w:val="24"/>
        </w:rPr>
      </w:pPr>
      <w:r w:rsidRPr="0083096F">
        <w:rPr>
          <w:rFonts w:ascii="Gill Sans MT" w:hAnsi="Gill Sans MT"/>
          <w:sz w:val="24"/>
          <w:szCs w:val="24"/>
        </w:rPr>
        <w:t xml:space="preserve">The Watsonia, Montmorency Eltham and Greensborough RSL’s have established Trust Fund’s via a Deed Agreement which contribute to the community each year through a grant program.  </w:t>
      </w:r>
    </w:p>
    <w:p w:rsidR="00DF46F7" w:rsidRPr="0083096F" w:rsidRDefault="00DF46F7" w:rsidP="00DF46F7">
      <w:pPr>
        <w:rPr>
          <w:rFonts w:ascii="Gill Sans MT" w:hAnsi="Gill Sans MT"/>
          <w:sz w:val="24"/>
          <w:szCs w:val="24"/>
        </w:rPr>
      </w:pPr>
      <w:r w:rsidRPr="0083096F">
        <w:rPr>
          <w:rFonts w:ascii="Gill Sans MT" w:hAnsi="Gill Sans MT"/>
          <w:sz w:val="24"/>
          <w:szCs w:val="24"/>
        </w:rPr>
        <w:t>In the 2016-2017 financial year the grant pools were</w:t>
      </w:r>
    </w:p>
    <w:p w:rsidR="00DF46F7" w:rsidRPr="0083096F" w:rsidRDefault="00DF46F7" w:rsidP="00DF46F7">
      <w:pPr>
        <w:pStyle w:val="ListParagraph"/>
        <w:numPr>
          <w:ilvl w:val="0"/>
          <w:numId w:val="32"/>
        </w:numPr>
        <w:contextualSpacing w:val="0"/>
        <w:rPr>
          <w:rFonts w:ascii="Gill Sans MT" w:hAnsi="Gill Sans MT"/>
          <w:sz w:val="24"/>
          <w:szCs w:val="24"/>
        </w:rPr>
      </w:pPr>
      <w:r w:rsidRPr="0083096F">
        <w:rPr>
          <w:rFonts w:ascii="Gill Sans MT" w:hAnsi="Gill Sans MT"/>
          <w:sz w:val="24"/>
          <w:szCs w:val="24"/>
        </w:rPr>
        <w:t>Watsonia RSL $100,000</w:t>
      </w:r>
    </w:p>
    <w:p w:rsidR="00DF46F7" w:rsidRPr="0083096F" w:rsidRDefault="00DF46F7" w:rsidP="00DF46F7">
      <w:pPr>
        <w:pStyle w:val="ListParagraph"/>
        <w:numPr>
          <w:ilvl w:val="0"/>
          <w:numId w:val="32"/>
        </w:numPr>
        <w:contextualSpacing w:val="0"/>
        <w:rPr>
          <w:rFonts w:ascii="Gill Sans MT" w:hAnsi="Gill Sans MT"/>
          <w:sz w:val="24"/>
          <w:szCs w:val="24"/>
        </w:rPr>
      </w:pPr>
      <w:r w:rsidRPr="0083096F">
        <w:rPr>
          <w:rFonts w:ascii="Gill Sans MT" w:hAnsi="Gill Sans MT"/>
          <w:sz w:val="24"/>
          <w:szCs w:val="24"/>
        </w:rPr>
        <w:t>Montmorency Eltham $35,000</w:t>
      </w:r>
    </w:p>
    <w:p w:rsidR="00DF46F7" w:rsidRPr="0083096F" w:rsidRDefault="00DF46F7" w:rsidP="00DF46F7">
      <w:pPr>
        <w:pStyle w:val="ListParagraph"/>
        <w:numPr>
          <w:ilvl w:val="0"/>
          <w:numId w:val="32"/>
        </w:numPr>
        <w:contextualSpacing w:val="0"/>
        <w:rPr>
          <w:rFonts w:ascii="Gill Sans MT" w:hAnsi="Gill Sans MT"/>
          <w:sz w:val="24"/>
          <w:szCs w:val="24"/>
        </w:rPr>
      </w:pPr>
      <w:r w:rsidRPr="0083096F">
        <w:rPr>
          <w:rFonts w:ascii="Gill Sans MT" w:hAnsi="Gill Sans MT"/>
          <w:sz w:val="24"/>
          <w:szCs w:val="24"/>
        </w:rPr>
        <w:t>Greensborough $56,000</w:t>
      </w:r>
    </w:p>
    <w:p w:rsidR="00511FC6" w:rsidRPr="0083096F" w:rsidRDefault="00511FC6" w:rsidP="00DF46F7">
      <w:pPr>
        <w:rPr>
          <w:rFonts w:ascii="Gill Sans MT" w:hAnsi="Gill Sans MT"/>
          <w:sz w:val="24"/>
          <w:szCs w:val="24"/>
        </w:rPr>
      </w:pPr>
    </w:p>
    <w:p w:rsidR="00DF46F7" w:rsidRPr="0083096F" w:rsidRDefault="00DF46F7" w:rsidP="00DF46F7">
      <w:pPr>
        <w:rPr>
          <w:rFonts w:ascii="Gill Sans MT" w:hAnsi="Gill Sans MT"/>
          <w:sz w:val="24"/>
          <w:szCs w:val="24"/>
        </w:rPr>
      </w:pPr>
      <w:r w:rsidRPr="0083096F">
        <w:rPr>
          <w:rFonts w:ascii="Gill Sans MT" w:hAnsi="Gill Sans MT"/>
          <w:sz w:val="24"/>
          <w:szCs w:val="24"/>
        </w:rPr>
        <w:t>The plan was for the clubs to contribute $1000 per EGM but this is not currently reflected in the clubs contribution.</w:t>
      </w:r>
    </w:p>
    <w:p w:rsidR="00DF46F7" w:rsidRPr="0083096F" w:rsidRDefault="00DF46F7" w:rsidP="00DF46F7">
      <w:pPr>
        <w:rPr>
          <w:rFonts w:ascii="Gill Sans MT" w:hAnsi="Gill Sans MT"/>
          <w:sz w:val="24"/>
          <w:szCs w:val="24"/>
        </w:rPr>
      </w:pPr>
    </w:p>
    <w:p w:rsidR="00DF46F7" w:rsidRPr="0083096F" w:rsidRDefault="00DF46F7" w:rsidP="00DF46F7">
      <w:pPr>
        <w:rPr>
          <w:rFonts w:ascii="Gill Sans MT" w:hAnsi="Gill Sans MT"/>
          <w:sz w:val="24"/>
          <w:szCs w:val="24"/>
        </w:rPr>
      </w:pPr>
      <w:r w:rsidRPr="0083096F">
        <w:rPr>
          <w:rFonts w:ascii="Gill Sans MT" w:hAnsi="Gill Sans MT"/>
          <w:sz w:val="24"/>
          <w:szCs w:val="24"/>
        </w:rPr>
        <w:t xml:space="preserve">The Clubs recently approached Council to review the contribution required and the funding rounds for 2017-2018 have been </w:t>
      </w:r>
      <w:r w:rsidR="008E1E8B" w:rsidRPr="0083096F">
        <w:rPr>
          <w:rFonts w:ascii="Gill Sans MT" w:hAnsi="Gill Sans MT"/>
          <w:sz w:val="24"/>
          <w:szCs w:val="24"/>
        </w:rPr>
        <w:t xml:space="preserve">put on hold whilst financial audits are undertaken.  Once </w:t>
      </w:r>
      <w:r w:rsidR="008E1E8B" w:rsidRPr="0083096F">
        <w:rPr>
          <w:rFonts w:ascii="Gill Sans MT" w:hAnsi="Gill Sans MT"/>
          <w:sz w:val="24"/>
          <w:szCs w:val="24"/>
        </w:rPr>
        <w:lastRenderedPageBreak/>
        <w:t>Council understands the financial situation for each RSL through the audit material, expected in late January, it will be in a position to make a decision on contributions moving forward</w:t>
      </w:r>
      <w:r w:rsidRPr="0083096F">
        <w:rPr>
          <w:rFonts w:ascii="Gill Sans MT" w:hAnsi="Gill Sans MT"/>
          <w:sz w:val="24"/>
          <w:szCs w:val="24"/>
        </w:rPr>
        <w:t xml:space="preserve">. </w:t>
      </w:r>
    </w:p>
    <w:p w:rsidR="00DF46F7" w:rsidRPr="0083096F" w:rsidRDefault="00DF46F7" w:rsidP="00DF46F7">
      <w:pPr>
        <w:rPr>
          <w:rFonts w:ascii="Gill Sans MT" w:hAnsi="Gill Sans MT"/>
          <w:sz w:val="24"/>
          <w:szCs w:val="24"/>
        </w:rPr>
      </w:pPr>
    </w:p>
    <w:p w:rsidR="00DF46F7" w:rsidRPr="0083096F" w:rsidRDefault="00DF46F7" w:rsidP="00DF46F7">
      <w:pPr>
        <w:rPr>
          <w:rFonts w:ascii="Gill Sans MT" w:hAnsi="Gill Sans MT"/>
          <w:sz w:val="24"/>
          <w:szCs w:val="24"/>
        </w:rPr>
      </w:pPr>
      <w:r w:rsidRPr="0083096F">
        <w:rPr>
          <w:rFonts w:ascii="Gill Sans MT" w:hAnsi="Gill Sans MT"/>
          <w:sz w:val="24"/>
          <w:szCs w:val="24"/>
        </w:rPr>
        <w:t xml:space="preserve">RSL on Bell does not currently contribute to this fund but as they now have EGM’s this should be reviewed to bring them in line with other RSL’s in Banyule. </w:t>
      </w:r>
    </w:p>
    <w:p w:rsidR="00382ED3" w:rsidRPr="0083096F" w:rsidRDefault="00382ED3" w:rsidP="00382ED3">
      <w:pPr>
        <w:pStyle w:val="Heading1"/>
        <w:rPr>
          <w:rFonts w:ascii="Gill Sans MT" w:hAnsi="Gill Sans MT"/>
        </w:rPr>
      </w:pPr>
      <w:bookmarkStart w:id="22" w:name="_Toc504143051"/>
      <w:r w:rsidRPr="0083096F">
        <w:rPr>
          <w:rFonts w:ascii="Gill Sans MT" w:hAnsi="Gill Sans MT"/>
        </w:rPr>
        <w:t>2.8 The Rise of Online and Sports Betting</w:t>
      </w:r>
      <w:bookmarkEnd w:id="22"/>
    </w:p>
    <w:p w:rsidR="00382ED3" w:rsidRPr="0083096F" w:rsidRDefault="00382ED3" w:rsidP="00382ED3">
      <w:pPr>
        <w:rPr>
          <w:rFonts w:ascii="Gill Sans MT" w:hAnsi="Gill Sans MT"/>
        </w:rPr>
      </w:pPr>
    </w:p>
    <w:p w:rsidR="00382ED3" w:rsidRPr="0083096F" w:rsidRDefault="00382ED3" w:rsidP="00382ED3">
      <w:pPr>
        <w:rPr>
          <w:rFonts w:ascii="Gill Sans MT" w:hAnsi="Gill Sans MT" w:cstheme="minorHAnsi"/>
          <w:sz w:val="24"/>
          <w:szCs w:val="24"/>
        </w:rPr>
      </w:pPr>
      <w:r w:rsidRPr="0083096F">
        <w:rPr>
          <w:rFonts w:ascii="Gill Sans MT" w:hAnsi="Gill Sans MT" w:cstheme="minorHAnsi"/>
          <w:sz w:val="24"/>
          <w:szCs w:val="24"/>
        </w:rPr>
        <w:t>A wager on approved sporting events can be made online or using interactive television. In Victoria, sports betting providers, ie Sportsbet and Centrebet, may not offer bets on Victorian sporting events without a written agreement from the relevant sports controlling body, eg. Cricket Australia, or a determination by the VCGLR. In Victoria, sports betting is legal on any event where approval has been given by the VCGLR.</w:t>
      </w:r>
    </w:p>
    <w:p w:rsidR="00382ED3" w:rsidRPr="0083096F" w:rsidRDefault="00382ED3" w:rsidP="00382ED3">
      <w:pPr>
        <w:rPr>
          <w:rFonts w:ascii="Gill Sans MT" w:hAnsi="Gill Sans MT" w:cstheme="minorHAnsi"/>
          <w:sz w:val="24"/>
          <w:szCs w:val="24"/>
        </w:rPr>
      </w:pPr>
    </w:p>
    <w:p w:rsidR="00382ED3" w:rsidRPr="0083096F" w:rsidRDefault="00382ED3" w:rsidP="00382ED3">
      <w:pPr>
        <w:rPr>
          <w:rFonts w:ascii="Gill Sans MT" w:hAnsi="Gill Sans MT" w:cstheme="minorHAnsi"/>
          <w:sz w:val="24"/>
          <w:szCs w:val="24"/>
        </w:rPr>
      </w:pPr>
      <w:r w:rsidRPr="0083096F">
        <w:rPr>
          <w:rFonts w:ascii="Gill Sans MT" w:hAnsi="Gill Sans MT" w:cstheme="minorHAnsi"/>
          <w:sz w:val="24"/>
          <w:szCs w:val="24"/>
        </w:rPr>
        <w:t xml:space="preserve"> Australian Gambling Statistics figures indicate that sports betting has increased by 30 per cent between 2013 and 2015, making this the fastest-growing gambling product in Australia. The 2017 Household, Income and Labour Dynamics in Australia (HILDA) survey indicates that this comes with genuine dangers. About one in 20 sports betters are problem gamblers, and almost half experience some level of harm. The Federal Communications Minister Senator Mitch Fifield said in 2017 that online gambling has three times the rate of problem gambling than other forms and is growing the fastest.</w:t>
      </w:r>
    </w:p>
    <w:p w:rsidR="00382ED3" w:rsidRPr="0083096F" w:rsidRDefault="00382ED3" w:rsidP="00382ED3">
      <w:pPr>
        <w:rPr>
          <w:rFonts w:ascii="Gill Sans MT" w:hAnsi="Gill Sans MT" w:cstheme="minorHAnsi"/>
          <w:sz w:val="24"/>
          <w:szCs w:val="24"/>
        </w:rPr>
      </w:pPr>
    </w:p>
    <w:p w:rsidR="00382ED3" w:rsidRPr="0083096F" w:rsidRDefault="00382ED3" w:rsidP="00382ED3">
      <w:pPr>
        <w:rPr>
          <w:rFonts w:ascii="Gill Sans MT" w:hAnsi="Gill Sans MT" w:cstheme="minorHAnsi"/>
          <w:sz w:val="24"/>
          <w:szCs w:val="24"/>
        </w:rPr>
      </w:pPr>
      <w:r w:rsidRPr="0083096F">
        <w:rPr>
          <w:rFonts w:ascii="Gill Sans MT" w:hAnsi="Gill Sans MT" w:cstheme="minorHAnsi"/>
          <w:sz w:val="24"/>
          <w:szCs w:val="24"/>
        </w:rPr>
        <w:t>In 2015 the Federal Government commissioned a review of the impact of offshore wagering by former New South Wales Premier Barry O’Farrell. According to the O’Farrell Review, since 2012 online gambling has grown significantly, consistent with an economy-wide migration to online service delivery and significant investment in brand awareness by online operators. The total amount spent on interactive gambling in Australia (including both onshore and illegal offshore activities) was US $2 billion in 2013 and US $2.2 billion in 2014.</w:t>
      </w:r>
    </w:p>
    <w:p w:rsidR="00382ED3" w:rsidRPr="0083096F" w:rsidRDefault="00382ED3" w:rsidP="00382ED3">
      <w:pPr>
        <w:rPr>
          <w:rFonts w:ascii="Gill Sans MT" w:hAnsi="Gill Sans MT" w:cstheme="minorHAnsi"/>
          <w:sz w:val="24"/>
          <w:szCs w:val="24"/>
        </w:rPr>
      </w:pPr>
    </w:p>
    <w:p w:rsidR="00382ED3" w:rsidRPr="0083096F" w:rsidRDefault="00382ED3" w:rsidP="00382ED3">
      <w:pPr>
        <w:rPr>
          <w:rFonts w:ascii="Gill Sans MT" w:hAnsi="Gill Sans MT" w:cstheme="minorHAnsi"/>
          <w:sz w:val="24"/>
          <w:szCs w:val="24"/>
        </w:rPr>
      </w:pPr>
      <w:r w:rsidRPr="0083096F">
        <w:rPr>
          <w:rFonts w:ascii="Gill Sans MT" w:hAnsi="Gill Sans MT" w:cstheme="minorHAnsi"/>
          <w:sz w:val="24"/>
          <w:szCs w:val="24"/>
        </w:rPr>
        <w:t>Furthermore, the latest research indicates that children aged 8 to 16 now consider gambling ads and sponsorship a normal part of sport. Over two-thirds of the children recalled the name of at least one sports betting brand, and around one in five could identify three or more sports betting brands. (Thomas, SL, Pitt, H, Bestman, A, Randle, M, Daube, M and Pettigrew, S, 2016, Child and parent recall of gambling sponsorship in Australian sport, Victorian Responsible Gambling Foundation, Melbourne).</w:t>
      </w:r>
    </w:p>
    <w:p w:rsidR="00382ED3" w:rsidRPr="0083096F" w:rsidRDefault="00382ED3" w:rsidP="00382ED3">
      <w:pPr>
        <w:rPr>
          <w:rFonts w:ascii="Gill Sans MT" w:hAnsi="Gill Sans MT" w:cstheme="minorHAnsi"/>
          <w:sz w:val="24"/>
          <w:szCs w:val="24"/>
        </w:rPr>
      </w:pPr>
    </w:p>
    <w:p w:rsidR="00382ED3" w:rsidRPr="0083096F" w:rsidRDefault="00382ED3" w:rsidP="00382ED3">
      <w:pPr>
        <w:rPr>
          <w:rFonts w:ascii="Gill Sans MT" w:hAnsi="Gill Sans MT" w:cstheme="minorHAnsi"/>
          <w:sz w:val="24"/>
          <w:szCs w:val="24"/>
        </w:rPr>
      </w:pPr>
      <w:r w:rsidRPr="0083096F">
        <w:rPr>
          <w:rFonts w:ascii="Gill Sans MT" w:hAnsi="Gill Sans MT" w:cstheme="minorHAnsi"/>
          <w:sz w:val="24"/>
          <w:szCs w:val="24"/>
        </w:rPr>
        <w:t>A Victorian Responsible Gambling Foundation Discussion Paper in March 2017 “Gen Bet: Has Gambling Gatecrashed Our Teens?” sets out a clear picture of a generation of digital natives for whom social media is practically lifeblood. This is the first generation to be exposed to saturation marketing of online betting products. In 2015 the gambling industry spent $236 million nationally on advertising, up from $91 million in 2011. This was mostly spent on online betting products. (Hickman, A and Bennett, L, 2016, “Gambling ads: place your bets”, AdNews, online 1 July, www.adnews.com.au).</w:t>
      </w:r>
    </w:p>
    <w:p w:rsidR="00382ED3" w:rsidRPr="0083096F" w:rsidRDefault="00382ED3" w:rsidP="00382ED3">
      <w:pPr>
        <w:rPr>
          <w:rFonts w:ascii="Gill Sans MT" w:hAnsi="Gill Sans MT" w:cstheme="minorHAnsi"/>
          <w:sz w:val="24"/>
          <w:szCs w:val="24"/>
        </w:rPr>
      </w:pPr>
    </w:p>
    <w:p w:rsidR="00382ED3" w:rsidRPr="0083096F" w:rsidRDefault="00382ED3" w:rsidP="00382ED3">
      <w:pPr>
        <w:rPr>
          <w:rFonts w:ascii="Gill Sans MT" w:hAnsi="Gill Sans MT" w:cstheme="minorHAnsi"/>
          <w:sz w:val="24"/>
          <w:szCs w:val="24"/>
        </w:rPr>
      </w:pPr>
      <w:r w:rsidRPr="0083096F">
        <w:rPr>
          <w:rFonts w:ascii="Gill Sans MT" w:hAnsi="Gill Sans MT" w:cstheme="minorHAnsi"/>
          <w:sz w:val="24"/>
          <w:szCs w:val="24"/>
        </w:rPr>
        <w:t xml:space="preserve">The Discussion Paper notes that teenagers are four times more likely to develop gambling problems than adults, and that 1 in 5 adults with gambling problems started gambling before they were 18. </w:t>
      </w:r>
    </w:p>
    <w:p w:rsidR="00382ED3" w:rsidRPr="0083096F" w:rsidRDefault="00382ED3" w:rsidP="00382ED3">
      <w:pPr>
        <w:rPr>
          <w:rFonts w:ascii="Gill Sans MT" w:hAnsi="Gill Sans MT" w:cstheme="minorHAnsi"/>
          <w:sz w:val="24"/>
          <w:szCs w:val="24"/>
        </w:rPr>
      </w:pPr>
    </w:p>
    <w:p w:rsidR="00382ED3" w:rsidRPr="0083096F" w:rsidRDefault="00382ED3" w:rsidP="00382ED3">
      <w:pPr>
        <w:rPr>
          <w:rFonts w:ascii="Gill Sans MT" w:hAnsi="Gill Sans MT" w:cstheme="minorHAnsi"/>
          <w:sz w:val="24"/>
          <w:szCs w:val="24"/>
        </w:rPr>
      </w:pPr>
      <w:r w:rsidRPr="0083096F">
        <w:rPr>
          <w:rFonts w:ascii="Gill Sans MT" w:hAnsi="Gill Sans MT" w:cstheme="minorHAnsi"/>
          <w:sz w:val="24"/>
          <w:szCs w:val="24"/>
        </w:rPr>
        <w:lastRenderedPageBreak/>
        <w:t>A 2010 study found that up to 20 per cent of young Australians aged 15 to 17 had bet on sports in the past 12 months – quite striking given that this age group is not legally allowed to bet on sports.</w:t>
      </w:r>
    </w:p>
    <w:p w:rsidR="00382ED3" w:rsidRPr="0083096F" w:rsidRDefault="00382ED3" w:rsidP="00382ED3">
      <w:pPr>
        <w:rPr>
          <w:rFonts w:ascii="Gill Sans MT" w:hAnsi="Gill Sans MT" w:cstheme="minorHAnsi"/>
          <w:sz w:val="24"/>
          <w:szCs w:val="24"/>
        </w:rPr>
      </w:pPr>
    </w:p>
    <w:p w:rsidR="00382ED3" w:rsidRPr="0083096F" w:rsidRDefault="00382ED3" w:rsidP="00382ED3">
      <w:pPr>
        <w:rPr>
          <w:rFonts w:ascii="Gill Sans MT" w:hAnsi="Gill Sans MT" w:cstheme="minorHAnsi"/>
          <w:sz w:val="24"/>
          <w:szCs w:val="24"/>
        </w:rPr>
      </w:pPr>
      <w:r w:rsidRPr="0083096F">
        <w:rPr>
          <w:rFonts w:ascii="Gill Sans MT" w:hAnsi="Gill Sans MT" w:cstheme="minorHAnsi"/>
          <w:sz w:val="24"/>
          <w:szCs w:val="24"/>
        </w:rPr>
        <w:t>The Victorian Responsible Gambling Foundation Discussion Paper observed that while the long-term effects of early exposure to gambling are unknown, evidence from other areas of public health, such as alcohol and tobacco, indicate that it is likely to be harmful for young people and create long-term problems.</w:t>
      </w:r>
    </w:p>
    <w:p w:rsidR="00382ED3" w:rsidRPr="0083096F" w:rsidRDefault="00382ED3" w:rsidP="00382ED3">
      <w:pPr>
        <w:rPr>
          <w:rFonts w:ascii="Gill Sans MT" w:hAnsi="Gill Sans MT" w:cstheme="minorHAnsi"/>
          <w:sz w:val="24"/>
          <w:szCs w:val="24"/>
        </w:rPr>
      </w:pPr>
    </w:p>
    <w:p w:rsidR="00382ED3" w:rsidRPr="0083096F" w:rsidRDefault="00382ED3" w:rsidP="00382ED3">
      <w:pPr>
        <w:rPr>
          <w:rFonts w:ascii="Gill Sans MT" w:hAnsi="Gill Sans MT" w:cstheme="minorHAnsi"/>
          <w:sz w:val="24"/>
          <w:szCs w:val="24"/>
        </w:rPr>
      </w:pPr>
      <w:r w:rsidRPr="0083096F">
        <w:rPr>
          <w:rFonts w:ascii="Gill Sans MT" w:hAnsi="Gill Sans MT" w:cstheme="minorHAnsi"/>
          <w:sz w:val="24"/>
          <w:szCs w:val="24"/>
        </w:rPr>
        <w:t>They concluded that our community, including policymakers, parents, teachers and coaches, needs to be vigilant to the risks posed to young people by this pushier, more pervasive gambling environment. They said we must educate our children to develop healthy and informed attitudes towards gambling, and help them understand that picking winners is not what sport is all about.</w:t>
      </w:r>
    </w:p>
    <w:p w:rsidR="00382ED3" w:rsidRPr="0083096F" w:rsidRDefault="00382ED3" w:rsidP="00382ED3">
      <w:pPr>
        <w:rPr>
          <w:rFonts w:ascii="Gill Sans MT" w:hAnsi="Gill Sans MT"/>
        </w:rPr>
      </w:pPr>
    </w:p>
    <w:p w:rsidR="00382ED3" w:rsidRPr="0083096F" w:rsidRDefault="00382ED3" w:rsidP="00382ED3">
      <w:pPr>
        <w:pStyle w:val="Heading1"/>
        <w:spacing w:before="120"/>
        <w:rPr>
          <w:rFonts w:ascii="Gill Sans MT" w:hAnsi="Gill Sans MT"/>
        </w:rPr>
      </w:pPr>
      <w:bookmarkStart w:id="23" w:name="_Toc504143052"/>
      <w:r w:rsidRPr="0083096F">
        <w:rPr>
          <w:rFonts w:ascii="Gill Sans MT" w:hAnsi="Gill Sans MT"/>
        </w:rPr>
        <w:t>2.9</w:t>
      </w:r>
      <w:r w:rsidRPr="0083096F">
        <w:rPr>
          <w:rFonts w:ascii="Gill Sans MT" w:hAnsi="Gill Sans MT"/>
        </w:rPr>
        <w:tab/>
        <w:t>Risk Factors and Local Government</w:t>
      </w:r>
      <w:bookmarkEnd w:id="23"/>
    </w:p>
    <w:p w:rsidR="00382ED3" w:rsidRPr="0083096F" w:rsidRDefault="00382ED3" w:rsidP="00382ED3">
      <w:pPr>
        <w:rPr>
          <w:rFonts w:ascii="Gill Sans MT" w:hAnsi="Gill Sans MT" w:cs="Arial"/>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Over time, a number of risk factors have been identified to be associated with problem gambling.  Typically risk factors are grouped under three main themes, which are:</w:t>
      </w:r>
    </w:p>
    <w:p w:rsidR="00382ED3" w:rsidRPr="0083096F" w:rsidRDefault="00382ED3" w:rsidP="00382ED3">
      <w:pPr>
        <w:rPr>
          <w:rFonts w:ascii="Gill Sans MT" w:hAnsi="Gill Sans MT" w:cs="Arial"/>
          <w:sz w:val="24"/>
          <w:szCs w:val="24"/>
        </w:rPr>
      </w:pPr>
    </w:p>
    <w:p w:rsidR="00382ED3" w:rsidRPr="0083096F" w:rsidRDefault="00382ED3" w:rsidP="00382ED3">
      <w:pPr>
        <w:ind w:left="720"/>
        <w:rPr>
          <w:rFonts w:ascii="Gill Sans MT" w:hAnsi="Gill Sans MT" w:cs="Arial"/>
          <w:sz w:val="24"/>
          <w:szCs w:val="24"/>
        </w:rPr>
      </w:pPr>
      <w:r w:rsidRPr="0083096F">
        <w:rPr>
          <w:rFonts w:ascii="Gill Sans MT" w:hAnsi="Gill Sans MT" w:cs="Arial"/>
          <w:b/>
          <w:i/>
          <w:sz w:val="24"/>
          <w:szCs w:val="24"/>
        </w:rPr>
        <w:t>Personal</w:t>
      </w:r>
      <w:r w:rsidRPr="0083096F">
        <w:rPr>
          <w:rFonts w:ascii="Gill Sans MT" w:hAnsi="Gill Sans MT" w:cs="Arial"/>
          <w:i/>
          <w:sz w:val="24"/>
          <w:szCs w:val="24"/>
        </w:rPr>
        <w:t xml:space="preserve"> </w:t>
      </w:r>
      <w:r w:rsidRPr="0083096F">
        <w:rPr>
          <w:rFonts w:ascii="Gill Sans MT" w:hAnsi="Gill Sans MT" w:cs="Arial"/>
          <w:sz w:val="24"/>
          <w:szCs w:val="24"/>
        </w:rPr>
        <w:t>– individual factors that predispose a person to problem gambling such as erroneous and irrational beliefs about gambling, mental health problems, loneliness and life stresses.</w:t>
      </w:r>
    </w:p>
    <w:p w:rsidR="00382ED3" w:rsidRPr="0083096F" w:rsidRDefault="00382ED3" w:rsidP="00382ED3">
      <w:pPr>
        <w:ind w:left="720"/>
        <w:rPr>
          <w:rFonts w:ascii="Gill Sans MT" w:hAnsi="Gill Sans MT" w:cs="Arial"/>
          <w:sz w:val="24"/>
          <w:szCs w:val="24"/>
        </w:rPr>
      </w:pPr>
    </w:p>
    <w:p w:rsidR="00382ED3" w:rsidRPr="0083096F" w:rsidRDefault="00382ED3" w:rsidP="00382ED3">
      <w:pPr>
        <w:ind w:left="720"/>
        <w:rPr>
          <w:rFonts w:ascii="Gill Sans MT" w:hAnsi="Gill Sans MT" w:cs="Arial"/>
          <w:sz w:val="24"/>
          <w:szCs w:val="24"/>
        </w:rPr>
      </w:pPr>
      <w:r w:rsidRPr="0083096F">
        <w:rPr>
          <w:rFonts w:ascii="Gill Sans MT" w:hAnsi="Gill Sans MT" w:cs="Arial"/>
          <w:b/>
          <w:i/>
          <w:sz w:val="24"/>
          <w:szCs w:val="24"/>
        </w:rPr>
        <w:t>Environmental</w:t>
      </w:r>
      <w:r w:rsidRPr="0083096F">
        <w:rPr>
          <w:rFonts w:ascii="Gill Sans MT" w:hAnsi="Gill Sans MT" w:cs="Arial"/>
          <w:i/>
          <w:sz w:val="24"/>
          <w:szCs w:val="24"/>
        </w:rPr>
        <w:t xml:space="preserve"> </w:t>
      </w:r>
      <w:r w:rsidRPr="0083096F">
        <w:rPr>
          <w:rFonts w:ascii="Gill Sans MT" w:hAnsi="Gill Sans MT" w:cs="Arial"/>
          <w:sz w:val="24"/>
          <w:szCs w:val="24"/>
        </w:rPr>
        <w:t>– access to gaming products, product and venue design.</w:t>
      </w:r>
    </w:p>
    <w:p w:rsidR="00382ED3" w:rsidRPr="0083096F" w:rsidRDefault="00382ED3" w:rsidP="00382ED3">
      <w:pPr>
        <w:ind w:left="720"/>
        <w:rPr>
          <w:rFonts w:ascii="Gill Sans MT" w:hAnsi="Gill Sans MT" w:cs="Arial"/>
          <w:sz w:val="24"/>
          <w:szCs w:val="24"/>
        </w:rPr>
      </w:pPr>
    </w:p>
    <w:p w:rsidR="00382ED3" w:rsidRPr="0083096F" w:rsidRDefault="00382ED3" w:rsidP="00382ED3">
      <w:pPr>
        <w:ind w:left="720"/>
        <w:rPr>
          <w:rFonts w:ascii="Gill Sans MT" w:hAnsi="Gill Sans MT" w:cs="Arial"/>
          <w:sz w:val="24"/>
          <w:szCs w:val="24"/>
        </w:rPr>
      </w:pPr>
      <w:r w:rsidRPr="0083096F">
        <w:rPr>
          <w:rFonts w:ascii="Gill Sans MT" w:hAnsi="Gill Sans MT" w:cs="Arial"/>
          <w:b/>
          <w:i/>
          <w:sz w:val="24"/>
          <w:szCs w:val="24"/>
        </w:rPr>
        <w:t>Structural</w:t>
      </w:r>
      <w:r w:rsidRPr="0083096F">
        <w:rPr>
          <w:rFonts w:ascii="Gill Sans MT" w:hAnsi="Gill Sans MT" w:cs="Arial"/>
          <w:sz w:val="24"/>
          <w:szCs w:val="24"/>
        </w:rPr>
        <w:t xml:space="preserve"> – problem gambling has a far greater impact on low income people due to lower disposable incomes.  This effect is compounded by the withdrawal of income from disadvantaged communities through the relatively high taxes on gaming machine expenditures, contributing to a net increase in social inequality.</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While local government has only limited ability to influence personal risk factors, it has a capacity to influence the environmental and structural factors associated with problem gambling as a consequence of its planning powers as the responsible authority.</w:t>
      </w:r>
    </w:p>
    <w:p w:rsidR="00382ED3" w:rsidRPr="0083096F" w:rsidRDefault="00382ED3" w:rsidP="00302185">
      <w:pPr>
        <w:pStyle w:val="Heading1"/>
        <w:spacing w:before="120"/>
        <w:rPr>
          <w:rFonts w:ascii="Gill Sans MT" w:hAnsi="Gill Sans MT"/>
        </w:rPr>
      </w:pPr>
    </w:p>
    <w:p w:rsidR="00382ED3" w:rsidRPr="0083096F" w:rsidRDefault="00382ED3" w:rsidP="00382ED3">
      <w:pPr>
        <w:pStyle w:val="Heading1"/>
        <w:spacing w:before="120"/>
        <w:rPr>
          <w:rFonts w:ascii="Gill Sans MT" w:hAnsi="Gill Sans MT"/>
        </w:rPr>
      </w:pPr>
      <w:bookmarkStart w:id="24" w:name="_Toc504143053"/>
      <w:r w:rsidRPr="0083096F">
        <w:rPr>
          <w:rFonts w:ascii="Gill Sans MT" w:hAnsi="Gill Sans MT"/>
        </w:rPr>
        <w:t>2.10 Responsible Gambling and the role of Venue Codes of Conduct</w:t>
      </w:r>
      <w:bookmarkEnd w:id="24"/>
    </w:p>
    <w:p w:rsidR="00382ED3" w:rsidRPr="0083096F" w:rsidRDefault="00382ED3" w:rsidP="00382ED3">
      <w:pPr>
        <w:ind w:left="360" w:firstLine="720"/>
        <w:rPr>
          <w:rFonts w:ascii="Gill Sans MT" w:hAnsi="Gill Sans MT" w:cs="Arial"/>
        </w:rPr>
      </w:pPr>
    </w:p>
    <w:p w:rsidR="00382ED3" w:rsidRPr="0083096F" w:rsidRDefault="00382ED3" w:rsidP="00382ED3">
      <w:pPr>
        <w:shd w:val="clear" w:color="auto" w:fill="FFFFFF"/>
        <w:rPr>
          <w:rFonts w:ascii="Gill Sans MT" w:hAnsi="Gill Sans MT" w:cs="Arial"/>
          <w:b/>
          <w:color w:val="000000"/>
          <w:sz w:val="24"/>
          <w:szCs w:val="24"/>
          <w:lang w:val="en" w:eastAsia="en-AU"/>
        </w:rPr>
      </w:pPr>
      <w:r w:rsidRPr="0083096F">
        <w:rPr>
          <w:rFonts w:ascii="Gill Sans MT" w:hAnsi="Gill Sans MT" w:cs="Arial"/>
          <w:b/>
          <w:color w:val="000000"/>
          <w:sz w:val="24"/>
          <w:szCs w:val="24"/>
          <w:lang w:val="en" w:eastAsia="en-AU"/>
        </w:rPr>
        <w:t>Code of Conduct</w:t>
      </w:r>
    </w:p>
    <w:p w:rsidR="00382ED3" w:rsidRPr="0083096F" w:rsidRDefault="00382ED3" w:rsidP="00382ED3">
      <w:pPr>
        <w:shd w:val="clear" w:color="auto" w:fill="FFFFFF"/>
        <w:rPr>
          <w:rFonts w:ascii="Gill Sans MT" w:hAnsi="Gill Sans MT" w:cs="Arial"/>
          <w:sz w:val="24"/>
          <w:szCs w:val="24"/>
        </w:rPr>
      </w:pPr>
      <w:r w:rsidRPr="0083096F">
        <w:rPr>
          <w:rFonts w:ascii="Gill Sans MT" w:hAnsi="Gill Sans MT" w:cs="Arial"/>
          <w:color w:val="000000"/>
          <w:sz w:val="24"/>
          <w:szCs w:val="24"/>
          <w:lang w:val="en" w:eastAsia="en-AU"/>
        </w:rPr>
        <w:t>A condition of the Gaming Licence is for the venue to have an approved Responsible Gambling Code of Conduct. The Victorian Commission for Gambling and Liquor Regulation (VCGLR) approves codes of conduct.</w:t>
      </w:r>
    </w:p>
    <w:p w:rsidR="00382ED3" w:rsidRPr="0083096F" w:rsidRDefault="00382ED3" w:rsidP="00382ED3">
      <w:pPr>
        <w:shd w:val="clear" w:color="auto" w:fill="FFFFFF"/>
        <w:rPr>
          <w:rFonts w:ascii="Gill Sans MT" w:hAnsi="Gill Sans MT" w:cs="Arial"/>
          <w:sz w:val="24"/>
          <w:szCs w:val="24"/>
        </w:rPr>
      </w:pPr>
    </w:p>
    <w:p w:rsidR="00382ED3" w:rsidRPr="0083096F" w:rsidRDefault="00382ED3" w:rsidP="00382ED3">
      <w:pPr>
        <w:shd w:val="clear" w:color="auto" w:fill="FFFFFF"/>
        <w:rPr>
          <w:rFonts w:ascii="Gill Sans MT" w:hAnsi="Gill Sans MT" w:cs="Arial"/>
          <w:color w:val="000000"/>
          <w:sz w:val="24"/>
          <w:szCs w:val="24"/>
          <w:lang w:val="en" w:eastAsia="en-AU"/>
        </w:rPr>
      </w:pPr>
      <w:r w:rsidRPr="0083096F">
        <w:rPr>
          <w:rFonts w:ascii="Gill Sans MT" w:hAnsi="Gill Sans MT" w:cs="Arial"/>
          <w:sz w:val="24"/>
          <w:szCs w:val="24"/>
        </w:rPr>
        <w:t>A code of conduct must be written in a manner that will enable it to be readily understood by customers. As a minimum requirement, a code of conduct must be written in plain English and be presented in such a way as to be reasonably accessible to customers, including customers from culturally and linguistically diverse backgrounds. More thorough detail in relation to the contents and criteria of the Code of Practice is detailed in the table provided at Appendix 1.</w:t>
      </w:r>
      <w:r w:rsidRPr="0083096F">
        <w:rPr>
          <w:rStyle w:val="FootnoteReference"/>
          <w:rFonts w:ascii="Gill Sans MT" w:hAnsi="Gill Sans MT" w:cs="Arial"/>
          <w:sz w:val="24"/>
          <w:szCs w:val="24"/>
        </w:rPr>
        <w:footnoteReference w:id="3"/>
      </w:r>
      <w:r w:rsidRPr="0083096F">
        <w:rPr>
          <w:rFonts w:ascii="Gill Sans MT" w:hAnsi="Gill Sans MT" w:cs="Arial"/>
          <w:sz w:val="24"/>
          <w:szCs w:val="24"/>
        </w:rPr>
        <w:t xml:space="preserve"> </w:t>
      </w:r>
    </w:p>
    <w:p w:rsidR="00382ED3" w:rsidRPr="0083096F" w:rsidRDefault="00382ED3" w:rsidP="00382ED3">
      <w:pPr>
        <w:spacing w:after="200" w:line="276" w:lineRule="auto"/>
        <w:rPr>
          <w:rFonts w:ascii="Gill Sans MT" w:hAnsi="Gill Sans MT" w:cs="Arial"/>
          <w:color w:val="000000"/>
          <w:lang w:val="en"/>
        </w:rPr>
      </w:pPr>
      <w:r w:rsidRPr="0083096F">
        <w:rPr>
          <w:rFonts w:ascii="Gill Sans MT" w:hAnsi="Gill Sans MT" w:cs="Arial"/>
          <w:color w:val="000000"/>
          <w:sz w:val="24"/>
          <w:szCs w:val="24"/>
          <w:lang w:val="en"/>
        </w:rPr>
        <w:t xml:space="preserve">Codes of Conduct for all EGM venues in Victoria are available from the VCGLR website at </w:t>
      </w:r>
      <w:hyperlink r:id="rId20" w:history="1">
        <w:r w:rsidRPr="0083096F">
          <w:rPr>
            <w:rStyle w:val="Hyperlink"/>
            <w:rFonts w:ascii="Gill Sans MT" w:hAnsi="Gill Sans MT" w:cs="Arial"/>
            <w:sz w:val="24"/>
            <w:szCs w:val="24"/>
            <w:lang w:val="en"/>
          </w:rPr>
          <w:t>www.vcglr.vic.gov.au</w:t>
        </w:r>
      </w:hyperlink>
    </w:p>
    <w:p w:rsidR="00775095" w:rsidRPr="0083096F" w:rsidRDefault="00775095" w:rsidP="00775095">
      <w:pPr>
        <w:rPr>
          <w:rFonts w:ascii="Gill Sans MT" w:hAnsi="Gill Sans MT"/>
          <w:b/>
          <w:bCs/>
          <w:iCs/>
          <w:sz w:val="24"/>
          <w:szCs w:val="20"/>
        </w:rPr>
      </w:pPr>
      <w:r w:rsidRPr="0083096F">
        <w:rPr>
          <w:rFonts w:ascii="Gill Sans MT" w:hAnsi="Gill Sans MT"/>
          <w:b/>
          <w:bCs/>
          <w:iCs/>
          <w:sz w:val="24"/>
          <w:szCs w:val="20"/>
        </w:rPr>
        <w:lastRenderedPageBreak/>
        <w:t>Venue Support Workers</w:t>
      </w:r>
    </w:p>
    <w:p w:rsidR="00775095" w:rsidRPr="0083096F" w:rsidRDefault="00775095" w:rsidP="00775095">
      <w:pPr>
        <w:rPr>
          <w:rFonts w:ascii="Gill Sans MT" w:hAnsi="Gill Sans MT"/>
          <w:iCs/>
          <w:sz w:val="24"/>
          <w:szCs w:val="20"/>
        </w:rPr>
      </w:pPr>
      <w:r w:rsidRPr="0083096F">
        <w:rPr>
          <w:rFonts w:ascii="Gill Sans MT" w:hAnsi="Gill Sans MT"/>
          <w:iCs/>
          <w:sz w:val="24"/>
          <w:szCs w:val="20"/>
        </w:rPr>
        <w:t>In 2011, the Victorian Government introduced a Venue Support Worker (VSW) Program which operates in each Region via the Gamblers Help Service. This program was designed to support venues to deliver more responsible gambling environments and has improved the delivery of training to venue managers and staff. In 2017 the VSW role also took on responsibility for delivering Responsible Service of Gaming (RSG) module 2 training. All venue staff must complete this RSG training to be able to work in Victorian Gaming venues. There are currently two Gaming VSW’s who service the Northern Metropolitan Region who would typically visit each venue at least twice a year.</w:t>
      </w:r>
    </w:p>
    <w:p w:rsidR="00382ED3" w:rsidRPr="0083096F" w:rsidRDefault="00382ED3" w:rsidP="00382ED3">
      <w:pPr>
        <w:rPr>
          <w:rFonts w:ascii="Gill Sans MT" w:hAnsi="Gill Sans MT" w:cs="Arial"/>
          <w:color w:val="000000"/>
          <w:sz w:val="24"/>
          <w:szCs w:val="24"/>
          <w:lang w:val="en"/>
        </w:rPr>
      </w:pPr>
    </w:p>
    <w:p w:rsidR="00382ED3" w:rsidRPr="0083096F" w:rsidRDefault="00382ED3" w:rsidP="00382ED3">
      <w:pPr>
        <w:rPr>
          <w:rFonts w:ascii="Gill Sans MT" w:hAnsi="Gill Sans MT" w:cs="Arial"/>
          <w:b/>
          <w:color w:val="000000"/>
          <w:sz w:val="24"/>
          <w:szCs w:val="24"/>
          <w:lang w:val="en"/>
        </w:rPr>
      </w:pPr>
      <w:r w:rsidRPr="0083096F">
        <w:rPr>
          <w:rFonts w:ascii="Gill Sans MT" w:hAnsi="Gill Sans MT" w:cs="Arial"/>
          <w:b/>
          <w:color w:val="000000"/>
          <w:sz w:val="24"/>
          <w:szCs w:val="24"/>
          <w:lang w:val="en"/>
        </w:rPr>
        <w:t>Responsible Service of Gaming</w:t>
      </w:r>
    </w:p>
    <w:p w:rsidR="00382ED3" w:rsidRPr="0083096F" w:rsidRDefault="00382ED3" w:rsidP="00382ED3">
      <w:pPr>
        <w:rPr>
          <w:rFonts w:ascii="Gill Sans MT" w:hAnsi="Gill Sans MT" w:cs="Arial"/>
          <w:color w:val="000000"/>
          <w:sz w:val="24"/>
          <w:szCs w:val="24"/>
          <w:lang w:val="en"/>
        </w:rPr>
      </w:pPr>
      <w:r w:rsidRPr="0083096F">
        <w:rPr>
          <w:rFonts w:ascii="Gill Sans MT" w:hAnsi="Gill Sans MT" w:cs="Arial"/>
          <w:color w:val="000000"/>
          <w:sz w:val="24"/>
          <w:szCs w:val="24"/>
          <w:lang w:val="en"/>
        </w:rPr>
        <w:t>In 2012, new training requirements for gaming venue employees took effect. All gaming venue employees working in the gaming machine area while it is open to the public are now required to complete an approved Responsible Service of Gaming (RSG) training course within six months of starting work. Gaming venue employees must also complete a refresher course every three years thereafter. Previously, these training requirements only applied to employees with a gaming industry employee’s licence (VCGLR Website).</w:t>
      </w:r>
    </w:p>
    <w:p w:rsidR="00382ED3" w:rsidRPr="0083096F" w:rsidRDefault="00382ED3" w:rsidP="00382ED3">
      <w:pPr>
        <w:rPr>
          <w:rFonts w:ascii="Gill Sans MT" w:hAnsi="Gill Sans MT" w:cs="Arial"/>
          <w:color w:val="000000"/>
          <w:sz w:val="24"/>
          <w:szCs w:val="24"/>
          <w:lang w:val="en"/>
        </w:rPr>
      </w:pPr>
    </w:p>
    <w:p w:rsidR="00382ED3" w:rsidRPr="0083096F" w:rsidRDefault="00382ED3" w:rsidP="00382ED3">
      <w:pPr>
        <w:rPr>
          <w:rFonts w:ascii="Gill Sans MT" w:hAnsi="Gill Sans MT" w:cs="Arial"/>
          <w:b/>
          <w:color w:val="000000"/>
          <w:sz w:val="24"/>
          <w:szCs w:val="24"/>
          <w:lang w:val="en"/>
        </w:rPr>
      </w:pPr>
      <w:r w:rsidRPr="0083096F">
        <w:rPr>
          <w:rFonts w:ascii="Gill Sans MT" w:hAnsi="Gill Sans MT" w:cs="Arial"/>
          <w:b/>
          <w:color w:val="000000"/>
          <w:sz w:val="24"/>
          <w:szCs w:val="24"/>
          <w:lang w:val="en"/>
        </w:rPr>
        <w:t>A Cautionary Note</w:t>
      </w: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Despite this range of controls, there is a number of issues that surround the operation of EGMs in Victoria which suggest it would be prudent of Council to adopt a cautious approach when considering future EGM applications. Codes of Conduct are mandatory and often represent a minimum legislated standard rather than best practice benchmark. There is significant variation in the implementation of responsible gambling practices. Therefore, Council should be wary of treating a Code of Conduct alone as evidence of commitment to responsible gambling practices at existing or proposed future gaming venues.</w:t>
      </w:r>
    </w:p>
    <w:p w:rsidR="00382ED3" w:rsidRPr="0083096F" w:rsidRDefault="00382ED3" w:rsidP="00382ED3">
      <w:pPr>
        <w:rPr>
          <w:rFonts w:ascii="Gill Sans MT" w:hAnsi="Gill Sans MT" w:cs="Arial"/>
          <w:b/>
        </w:rPr>
      </w:pPr>
    </w:p>
    <w:p w:rsidR="00382ED3" w:rsidRPr="0083096F" w:rsidRDefault="00382ED3" w:rsidP="00382ED3">
      <w:pPr>
        <w:pStyle w:val="Heading1"/>
        <w:spacing w:before="120" w:after="120"/>
        <w:rPr>
          <w:rFonts w:ascii="Gill Sans MT" w:hAnsi="Gill Sans MT"/>
        </w:rPr>
      </w:pPr>
      <w:bookmarkStart w:id="25" w:name="_Toc504143054"/>
      <w:r w:rsidRPr="0083096F">
        <w:rPr>
          <w:rFonts w:ascii="Gill Sans MT" w:hAnsi="Gill Sans MT"/>
        </w:rPr>
        <w:t>2.11 Other Considerations</w:t>
      </w:r>
      <w:bookmarkEnd w:id="25"/>
      <w:r w:rsidRPr="0083096F">
        <w:rPr>
          <w:rFonts w:ascii="Gill Sans MT" w:hAnsi="Gill Sans MT"/>
        </w:rPr>
        <w:t xml:space="preserve"> </w:t>
      </w: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Several factors are known to be peculiar to the gaming industry since the 1990’s, and these remain important today. In considering Council’s response to EGM gambling in the local community, there are a number of additional issues that should be canvassed. These include:</w:t>
      </w:r>
    </w:p>
    <w:p w:rsidR="00382ED3" w:rsidRPr="0083096F" w:rsidRDefault="00382ED3" w:rsidP="00382ED3">
      <w:pPr>
        <w:rPr>
          <w:rFonts w:ascii="Gill Sans MT" w:hAnsi="Gill Sans MT" w:cs="Arial"/>
          <w:sz w:val="24"/>
          <w:szCs w:val="24"/>
        </w:rPr>
      </w:pPr>
    </w:p>
    <w:p w:rsidR="00382ED3" w:rsidRPr="0083096F" w:rsidRDefault="00382ED3" w:rsidP="00382ED3">
      <w:pPr>
        <w:numPr>
          <w:ilvl w:val="0"/>
          <w:numId w:val="5"/>
        </w:numPr>
        <w:rPr>
          <w:rFonts w:ascii="Gill Sans MT" w:hAnsi="Gill Sans MT" w:cs="Arial"/>
          <w:sz w:val="24"/>
          <w:szCs w:val="24"/>
        </w:rPr>
      </w:pPr>
      <w:r w:rsidRPr="0083096F">
        <w:rPr>
          <w:rFonts w:ascii="Gill Sans MT" w:hAnsi="Gill Sans MT" w:cs="Arial"/>
          <w:sz w:val="24"/>
          <w:szCs w:val="24"/>
        </w:rPr>
        <w:t>Recent research indicates that modern electronic gaming machines are deliberately designed to addict players, with built in addictive features such as losses disguised as wins, near misses, and free spins. New knowledge about how poker machines are designed demonstrates that industry-based self-exclusion measures to enable “responsible gambling” are only window-dressing solutions to a wider problem. It is becoming increasingly clear that it is the machine, rather than the gambler, that is the problem. EGM gambling is being increasingly seen as a public health issue, with organisations such as the Alliance for Gambling Reform advocating measures to reduce gambling harm.</w:t>
      </w:r>
    </w:p>
    <w:p w:rsidR="00382ED3" w:rsidRPr="0083096F" w:rsidRDefault="00382ED3" w:rsidP="00382ED3">
      <w:pPr>
        <w:rPr>
          <w:rFonts w:ascii="Gill Sans MT" w:hAnsi="Gill Sans MT" w:cs="Arial"/>
          <w:sz w:val="24"/>
          <w:szCs w:val="24"/>
        </w:rPr>
      </w:pPr>
    </w:p>
    <w:p w:rsidR="00382ED3" w:rsidRPr="0083096F" w:rsidRDefault="00382ED3" w:rsidP="00382ED3">
      <w:pPr>
        <w:numPr>
          <w:ilvl w:val="0"/>
          <w:numId w:val="5"/>
        </w:numPr>
        <w:rPr>
          <w:rFonts w:ascii="Gill Sans MT" w:hAnsi="Gill Sans MT" w:cs="Arial"/>
          <w:sz w:val="24"/>
          <w:szCs w:val="24"/>
        </w:rPr>
      </w:pPr>
      <w:r w:rsidRPr="0083096F">
        <w:rPr>
          <w:rFonts w:ascii="Gill Sans MT" w:hAnsi="Gill Sans MT" w:cs="Arial"/>
          <w:sz w:val="24"/>
          <w:szCs w:val="24"/>
        </w:rPr>
        <w:t xml:space="preserve">There is an </w:t>
      </w:r>
      <w:r w:rsidRPr="0083096F">
        <w:rPr>
          <w:rFonts w:ascii="Gill Sans MT" w:hAnsi="Gill Sans MT" w:cs="Arial"/>
          <w:b/>
          <w:sz w:val="24"/>
          <w:szCs w:val="24"/>
        </w:rPr>
        <w:t>asymmetry of information</w:t>
      </w:r>
      <w:r w:rsidRPr="0083096F">
        <w:rPr>
          <w:rFonts w:ascii="Gill Sans MT" w:hAnsi="Gill Sans MT" w:cs="Arial"/>
          <w:sz w:val="24"/>
          <w:szCs w:val="24"/>
        </w:rPr>
        <w:t xml:space="preserve"> in which most of the information on gaming behaviour is held by the gaming industry.  While some of this information is reported to the VCGLR, very little is available to either the general public or authorities such as Councils who are charged with some of the responsibility for determining applications for additional machines or venues.</w:t>
      </w:r>
    </w:p>
    <w:p w:rsidR="00382ED3" w:rsidRPr="0083096F" w:rsidRDefault="00382ED3" w:rsidP="00382ED3">
      <w:pPr>
        <w:rPr>
          <w:rFonts w:ascii="Gill Sans MT" w:hAnsi="Gill Sans MT" w:cs="Arial"/>
          <w:sz w:val="24"/>
          <w:szCs w:val="24"/>
        </w:rPr>
      </w:pPr>
    </w:p>
    <w:p w:rsidR="00382ED3" w:rsidRPr="0083096F" w:rsidRDefault="00382ED3" w:rsidP="00382ED3">
      <w:pPr>
        <w:numPr>
          <w:ilvl w:val="0"/>
          <w:numId w:val="5"/>
        </w:numPr>
        <w:rPr>
          <w:rFonts w:ascii="Gill Sans MT" w:hAnsi="Gill Sans MT" w:cs="Arial"/>
          <w:sz w:val="24"/>
          <w:szCs w:val="24"/>
        </w:rPr>
      </w:pPr>
      <w:r w:rsidRPr="0083096F">
        <w:rPr>
          <w:rFonts w:ascii="Gill Sans MT" w:hAnsi="Gill Sans MT" w:cs="Arial"/>
          <w:sz w:val="24"/>
          <w:szCs w:val="24"/>
        </w:rPr>
        <w:t xml:space="preserve">There is an emerging view that EGMs are an </w:t>
      </w:r>
      <w:r w:rsidRPr="0083096F">
        <w:rPr>
          <w:rFonts w:ascii="Gill Sans MT" w:hAnsi="Gill Sans MT" w:cs="Arial"/>
          <w:b/>
          <w:sz w:val="24"/>
          <w:szCs w:val="24"/>
        </w:rPr>
        <w:t>unsafe consumer product</w:t>
      </w:r>
      <w:r w:rsidRPr="0083096F">
        <w:rPr>
          <w:rFonts w:ascii="Gill Sans MT" w:hAnsi="Gill Sans MT" w:cs="Arial"/>
          <w:sz w:val="24"/>
          <w:szCs w:val="24"/>
        </w:rPr>
        <w:t xml:space="preserve">.  Implicit in this view is that the owners and operators of EGMs have a duty of care to provide a safe environment for gaming and to provide adequate consumer information and protection.  </w:t>
      </w:r>
      <w:r w:rsidRPr="0083096F">
        <w:rPr>
          <w:rFonts w:ascii="Gill Sans MT" w:hAnsi="Gill Sans MT" w:cs="Arial"/>
          <w:sz w:val="24"/>
          <w:szCs w:val="24"/>
        </w:rPr>
        <w:lastRenderedPageBreak/>
        <w:t>Research in recent years has shown links between gambling and homelessness, gambling and mental health problems, and gambling and family violence.</w:t>
      </w:r>
    </w:p>
    <w:p w:rsidR="00382ED3" w:rsidRPr="0083096F" w:rsidRDefault="00382ED3" w:rsidP="00382ED3">
      <w:pPr>
        <w:rPr>
          <w:rFonts w:ascii="Gill Sans MT" w:hAnsi="Gill Sans MT" w:cs="Arial"/>
          <w:sz w:val="24"/>
          <w:szCs w:val="24"/>
        </w:rPr>
      </w:pPr>
    </w:p>
    <w:p w:rsidR="00382ED3" w:rsidRPr="0083096F" w:rsidRDefault="00382ED3" w:rsidP="00382ED3">
      <w:pPr>
        <w:numPr>
          <w:ilvl w:val="0"/>
          <w:numId w:val="5"/>
        </w:numPr>
        <w:rPr>
          <w:rFonts w:ascii="Gill Sans MT" w:hAnsi="Gill Sans MT" w:cs="Arial"/>
          <w:sz w:val="24"/>
          <w:szCs w:val="24"/>
        </w:rPr>
      </w:pPr>
      <w:r w:rsidRPr="0083096F">
        <w:rPr>
          <w:rFonts w:ascii="Gill Sans MT" w:hAnsi="Gill Sans MT" w:cs="Arial"/>
          <w:sz w:val="24"/>
          <w:szCs w:val="24"/>
        </w:rPr>
        <w:t xml:space="preserve">The Victorian Government as both Regulator and Beneficiary of the Gaming Industry has an inherent </w:t>
      </w:r>
      <w:r w:rsidRPr="0083096F">
        <w:rPr>
          <w:rFonts w:ascii="Gill Sans MT" w:hAnsi="Gill Sans MT" w:cs="Arial"/>
          <w:b/>
          <w:sz w:val="24"/>
          <w:szCs w:val="24"/>
        </w:rPr>
        <w:t>conflict of interest</w:t>
      </w:r>
      <w:r w:rsidRPr="0083096F">
        <w:rPr>
          <w:rFonts w:ascii="Gill Sans MT" w:hAnsi="Gill Sans MT" w:cs="Arial"/>
          <w:sz w:val="24"/>
          <w:szCs w:val="24"/>
        </w:rPr>
        <w:t>.  A significant proportion of gaming revenues come from problem gamblers, and gaming revenues are a significant source of income to the State Government.  There is a need for a watching brief on the State Government’s performance in respect to Policy and Regulation of the Gaming Industry from the viewpoint of accountability, transparency, sustainability and fairness.</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In this environment it is prudent for Banyule City Council to adopt an independent position on Electronic Gaming which reflects its own assessment on how the interests on the community are best served in relation to the operation of EGMs within the municipality.</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Aligned with this is an interest in promoting and supporting recreational, cultural and leisure activities that provide gaming free alternatives, particularly to vulnerable</w:t>
      </w:r>
      <w:r w:rsidRPr="0083096F">
        <w:rPr>
          <w:rFonts w:ascii="Gill Sans MT" w:hAnsi="Gill Sans MT" w:cs="Arial"/>
        </w:rPr>
        <w:t xml:space="preserve"> groups. </w:t>
      </w:r>
      <w:r w:rsidRPr="0083096F">
        <w:rPr>
          <w:rFonts w:ascii="Gill Sans MT" w:hAnsi="Gill Sans MT" w:cs="Arial"/>
          <w:sz w:val="24"/>
          <w:szCs w:val="24"/>
        </w:rPr>
        <w:t>To its credit the Victorian Responsible Gambling Foundation has shown itself willing to fund such activities, for example, the 2017 Libraries After Dark Program of the Moreland, Hume, Darebin and Whittlesea Councils.</w:t>
      </w:r>
    </w:p>
    <w:p w:rsidR="00382ED3" w:rsidRPr="0083096F" w:rsidRDefault="00382ED3" w:rsidP="00382ED3">
      <w:pPr>
        <w:rPr>
          <w:rFonts w:ascii="Gill Sans MT" w:hAnsi="Gill Sans MT" w:cs="Arial"/>
        </w:rPr>
      </w:pPr>
    </w:p>
    <w:p w:rsidR="00382ED3" w:rsidRPr="0083096F" w:rsidRDefault="00382ED3" w:rsidP="00382ED3">
      <w:pPr>
        <w:pStyle w:val="Heading1"/>
        <w:spacing w:before="120"/>
        <w:rPr>
          <w:rFonts w:ascii="Gill Sans MT" w:hAnsi="Gill Sans MT"/>
        </w:rPr>
      </w:pPr>
      <w:bookmarkStart w:id="26" w:name="_Toc504143055"/>
      <w:r w:rsidRPr="0083096F">
        <w:rPr>
          <w:rFonts w:ascii="Gill Sans MT" w:hAnsi="Gill Sans MT"/>
        </w:rPr>
        <w:t>2.12</w:t>
      </w:r>
      <w:r w:rsidRPr="0083096F">
        <w:rPr>
          <w:rFonts w:ascii="Gill Sans MT" w:hAnsi="Gill Sans MT"/>
        </w:rPr>
        <w:tab/>
        <w:t>Legislative Context</w:t>
      </w:r>
      <w:bookmarkEnd w:id="26"/>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The operation of EGMs in Victoria is governed by the provisions of the Gaming Regulation Act 2003 (</w:t>
      </w:r>
      <w:r w:rsidRPr="0083096F">
        <w:rPr>
          <w:rFonts w:ascii="Gill Sans MT" w:hAnsi="Gill Sans MT" w:cs="Arial"/>
          <w:i/>
          <w:sz w:val="24"/>
          <w:szCs w:val="24"/>
        </w:rPr>
        <w:t>The Act</w:t>
      </w:r>
      <w:r w:rsidRPr="0083096F">
        <w:rPr>
          <w:rFonts w:ascii="Gill Sans MT" w:hAnsi="Gill Sans MT" w:cs="Arial"/>
          <w:sz w:val="24"/>
          <w:szCs w:val="24"/>
        </w:rPr>
        <w:t>).</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In October 2006, the Victorian Government introduced a number of changes to ‘</w:t>
      </w:r>
      <w:r w:rsidRPr="0083096F">
        <w:rPr>
          <w:rFonts w:ascii="Gill Sans MT" w:hAnsi="Gill Sans MT" w:cs="Arial"/>
          <w:i/>
          <w:sz w:val="24"/>
          <w:szCs w:val="24"/>
        </w:rPr>
        <w:t xml:space="preserve">The Act’, </w:t>
      </w:r>
      <w:r w:rsidRPr="0083096F">
        <w:rPr>
          <w:rFonts w:ascii="Gill Sans MT" w:hAnsi="Gill Sans MT" w:cs="Arial"/>
          <w:sz w:val="24"/>
          <w:szCs w:val="24"/>
        </w:rPr>
        <w:t>designed to increase local government planning powers in respect to the placement of EGM machines and to provide improved levels of consumer protection. These changes removed the “as of right” provisions in respect to gaming floor areas.  Planning permits are now required for all applications to increase the number of machines in existing premises or to introduce machines to new gaming premises.  Previously, planning permits were not required where the floor space used for Gaming purposes represented less than 25% of the building floor space. The changes also introduced consumer protection initiatives such as restrictions on access to automated teller machines (ATMs) and a decrease in the size of the maximum gaming machine bet.</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 xml:space="preserve">The Victorian Government has sought to increase local government involvement in the hearing of applications before the VCGLR in the form of submitting a Social and Economic Impact Statement. However this process has often produced disappointment for local governments and it is important to remember that local government powers in respect to control over the operation of gaming machines within the municipality are severely limited by State Government legislation.  Providing land use requirements are satisfied, local government’s powers are largely restricted to acting as an advocate for its community before the VCGLR.  Policy positions that lie outside the regulatory framework are largely ignored. For obvious reasons, this is a significant consideration in the formulation of new social policy. </w:t>
      </w:r>
    </w:p>
    <w:p w:rsidR="00382ED3" w:rsidRPr="0083096F" w:rsidRDefault="00382ED3" w:rsidP="00382ED3">
      <w:pPr>
        <w:autoSpaceDE w:val="0"/>
        <w:autoSpaceDN w:val="0"/>
        <w:adjustRightInd w:val="0"/>
        <w:rPr>
          <w:rFonts w:ascii="Gill Sans MT" w:eastAsiaTheme="minorHAnsi" w:hAnsi="Gill Sans MT" w:cs="Arial"/>
          <w:sz w:val="24"/>
          <w:szCs w:val="24"/>
        </w:rPr>
      </w:pPr>
    </w:p>
    <w:p w:rsidR="00382ED3" w:rsidRPr="0083096F" w:rsidRDefault="00382ED3" w:rsidP="00382ED3">
      <w:pPr>
        <w:autoSpaceDE w:val="0"/>
        <w:autoSpaceDN w:val="0"/>
        <w:adjustRightInd w:val="0"/>
        <w:rPr>
          <w:rFonts w:ascii="Gill Sans MT" w:eastAsiaTheme="minorHAnsi" w:hAnsi="Gill Sans MT" w:cs="Arial"/>
          <w:b/>
          <w:sz w:val="24"/>
          <w:szCs w:val="24"/>
        </w:rPr>
      </w:pPr>
      <w:r w:rsidRPr="0083096F">
        <w:rPr>
          <w:rFonts w:ascii="Gill Sans MT" w:eastAsiaTheme="minorHAnsi" w:hAnsi="Gill Sans MT" w:cs="Arial"/>
          <w:b/>
          <w:sz w:val="24"/>
          <w:szCs w:val="24"/>
        </w:rPr>
        <w:t xml:space="preserve">Victorian Gaming Reform </w:t>
      </w:r>
    </w:p>
    <w:p w:rsidR="00382ED3" w:rsidRPr="0083096F" w:rsidRDefault="00382ED3" w:rsidP="00382ED3">
      <w:p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Since 2008, there have been a number of further changes to the EGM gambling environment in Victoria including:</w:t>
      </w:r>
    </w:p>
    <w:p w:rsidR="00382ED3" w:rsidRPr="0083096F" w:rsidRDefault="00382ED3" w:rsidP="00382ED3">
      <w:pPr>
        <w:pStyle w:val="ListParagraph"/>
        <w:numPr>
          <w:ilvl w:val="0"/>
          <w:numId w:val="24"/>
        </w:numPr>
        <w:autoSpaceDE w:val="0"/>
        <w:autoSpaceDN w:val="0"/>
        <w:adjustRightInd w:val="0"/>
        <w:spacing w:after="120"/>
        <w:contextualSpacing w:val="0"/>
        <w:rPr>
          <w:rFonts w:ascii="Gill Sans MT" w:eastAsiaTheme="minorHAnsi" w:hAnsi="Gill Sans MT" w:cs="Arial"/>
          <w:sz w:val="24"/>
          <w:szCs w:val="24"/>
        </w:rPr>
      </w:pPr>
      <w:r w:rsidRPr="0083096F">
        <w:rPr>
          <w:rFonts w:ascii="Gill Sans MT" w:eastAsiaTheme="minorHAnsi" w:hAnsi="Gill Sans MT" w:cs="Arial"/>
          <w:sz w:val="24"/>
          <w:szCs w:val="24"/>
        </w:rPr>
        <w:t xml:space="preserve">The creation of a regulatory body that combined the former Victorian Commission for Gambling Regulation, and Liquor Licensing Victoria. The Commission, which is the </w:t>
      </w:r>
      <w:r w:rsidRPr="0083096F">
        <w:rPr>
          <w:rFonts w:ascii="Gill Sans MT" w:eastAsiaTheme="minorHAnsi" w:hAnsi="Gill Sans MT" w:cs="Arial"/>
          <w:sz w:val="24"/>
          <w:szCs w:val="24"/>
        </w:rPr>
        <w:lastRenderedPageBreak/>
        <w:t>Victorian Commission for Gambling and Liquor Regulation (VCGLR) commenced operation in 2012;</w:t>
      </w:r>
    </w:p>
    <w:p w:rsidR="00382ED3" w:rsidRPr="0083096F" w:rsidRDefault="00382ED3" w:rsidP="00382ED3">
      <w:pPr>
        <w:pStyle w:val="ListParagraph"/>
        <w:numPr>
          <w:ilvl w:val="0"/>
          <w:numId w:val="24"/>
        </w:numPr>
        <w:autoSpaceDE w:val="0"/>
        <w:autoSpaceDN w:val="0"/>
        <w:adjustRightInd w:val="0"/>
        <w:spacing w:after="120"/>
        <w:contextualSpacing w:val="0"/>
        <w:rPr>
          <w:rFonts w:ascii="Gill Sans MT" w:eastAsiaTheme="minorHAnsi" w:hAnsi="Gill Sans MT" w:cs="Arial"/>
          <w:sz w:val="24"/>
          <w:szCs w:val="24"/>
        </w:rPr>
      </w:pPr>
      <w:r w:rsidRPr="0083096F">
        <w:rPr>
          <w:rFonts w:ascii="Gill Sans MT" w:eastAsiaTheme="minorHAnsi" w:hAnsi="Gill Sans MT" w:cs="Arial"/>
          <w:sz w:val="24"/>
          <w:szCs w:val="24"/>
        </w:rPr>
        <w:t>New gaming licensing arrangements from 2012, which enable venue operators to purchase 10-year EGM entitlements that authorise them to own and operate EGMs at approved gaming venues; from 2022 this will change to a 20 year lease;</w:t>
      </w:r>
    </w:p>
    <w:p w:rsidR="00382ED3" w:rsidRPr="0083096F" w:rsidRDefault="00382ED3" w:rsidP="00382ED3">
      <w:pPr>
        <w:pStyle w:val="ListParagraph"/>
        <w:numPr>
          <w:ilvl w:val="0"/>
          <w:numId w:val="24"/>
        </w:numPr>
        <w:autoSpaceDE w:val="0"/>
        <w:autoSpaceDN w:val="0"/>
        <w:adjustRightInd w:val="0"/>
        <w:spacing w:after="120"/>
        <w:ind w:left="777" w:hanging="357"/>
        <w:contextualSpacing w:val="0"/>
        <w:rPr>
          <w:rFonts w:ascii="Gill Sans MT" w:eastAsiaTheme="minorHAnsi" w:hAnsi="Gill Sans MT" w:cs="Arial"/>
          <w:sz w:val="24"/>
          <w:szCs w:val="24"/>
        </w:rPr>
      </w:pPr>
      <w:r w:rsidRPr="0083096F">
        <w:rPr>
          <w:rFonts w:ascii="Gill Sans MT" w:eastAsiaTheme="minorHAnsi" w:hAnsi="Gill Sans MT" w:cs="Arial"/>
          <w:sz w:val="24"/>
          <w:szCs w:val="24"/>
        </w:rPr>
        <w:t>The removal of ATMs from EGM venues, with an exemption allowed for venues in rural locations, where there are limited cash facilities; this was followed up last year with a daily $200 EFTPOS cashout limit;</w:t>
      </w:r>
    </w:p>
    <w:p w:rsidR="00382ED3" w:rsidRPr="0083096F" w:rsidRDefault="00382ED3" w:rsidP="00382ED3">
      <w:pPr>
        <w:pStyle w:val="ListParagraph"/>
        <w:numPr>
          <w:ilvl w:val="0"/>
          <w:numId w:val="24"/>
        </w:numPr>
        <w:autoSpaceDE w:val="0"/>
        <w:autoSpaceDN w:val="0"/>
        <w:adjustRightInd w:val="0"/>
        <w:spacing w:after="120"/>
        <w:ind w:left="777" w:hanging="357"/>
        <w:contextualSpacing w:val="0"/>
        <w:rPr>
          <w:rFonts w:ascii="Gill Sans MT" w:eastAsiaTheme="minorHAnsi" w:hAnsi="Gill Sans MT" w:cs="Arial"/>
          <w:sz w:val="24"/>
          <w:szCs w:val="24"/>
        </w:rPr>
      </w:pPr>
      <w:r w:rsidRPr="0083096F">
        <w:rPr>
          <w:rFonts w:ascii="Gill Sans MT" w:eastAsiaTheme="minorHAnsi" w:hAnsi="Gill Sans MT" w:cs="Arial"/>
          <w:sz w:val="24"/>
          <w:szCs w:val="24"/>
        </w:rPr>
        <w:t>Stricter timelines for responding to gaming licence applications at the VCGLR. Currently a Council must notify the VCGLR if it is putting in a submission 37 days after receiving notification of the application, with the submission due on day 60. Extensions of time will now only be granted for exceptional circumstances such as natural disaster. The stricter timelines place considerable constraints on Councils to respond effectively to gaming licence applications, particularly in regard to Council meeting cycles, undertaking community consultation and analysis of relevant data.</w:t>
      </w:r>
    </w:p>
    <w:p w:rsidR="00382ED3" w:rsidRPr="0083096F" w:rsidRDefault="00382ED3" w:rsidP="00382ED3">
      <w:pPr>
        <w:pStyle w:val="ListParagraph"/>
        <w:numPr>
          <w:ilvl w:val="0"/>
          <w:numId w:val="24"/>
        </w:numPr>
        <w:autoSpaceDE w:val="0"/>
        <w:autoSpaceDN w:val="0"/>
        <w:adjustRightInd w:val="0"/>
        <w:spacing w:after="120"/>
        <w:ind w:left="777" w:hanging="357"/>
        <w:contextualSpacing w:val="0"/>
        <w:rPr>
          <w:rFonts w:ascii="Gill Sans MT" w:eastAsiaTheme="minorHAnsi" w:hAnsi="Gill Sans MT" w:cs="Arial"/>
          <w:sz w:val="24"/>
          <w:szCs w:val="24"/>
        </w:rPr>
      </w:pPr>
      <w:r w:rsidRPr="0083096F">
        <w:rPr>
          <w:rFonts w:ascii="Gill Sans MT" w:eastAsiaTheme="minorHAnsi" w:hAnsi="Gill Sans MT" w:cs="Arial"/>
          <w:sz w:val="24"/>
          <w:szCs w:val="24"/>
        </w:rPr>
        <w:t>In 2012, the establishment of a single, independent monitoring licensee, Intralot Gaming Services Pty Ltd, to provide an electronic monitoring system that all EGMs in Victoria must be connected to.</w:t>
      </w:r>
    </w:p>
    <w:p w:rsidR="00382ED3" w:rsidRPr="0083096F" w:rsidRDefault="00382ED3" w:rsidP="00382ED3">
      <w:pPr>
        <w:pStyle w:val="ListParagraph"/>
        <w:numPr>
          <w:ilvl w:val="0"/>
          <w:numId w:val="24"/>
        </w:numPr>
        <w:autoSpaceDE w:val="0"/>
        <w:autoSpaceDN w:val="0"/>
        <w:adjustRightInd w:val="0"/>
        <w:spacing w:after="120"/>
        <w:ind w:left="777" w:hanging="357"/>
        <w:contextualSpacing w:val="0"/>
        <w:rPr>
          <w:rFonts w:ascii="Gill Sans MT" w:eastAsiaTheme="minorHAnsi" w:hAnsi="Gill Sans MT" w:cs="Arial"/>
          <w:sz w:val="24"/>
          <w:szCs w:val="24"/>
        </w:rPr>
      </w:pPr>
      <w:r w:rsidRPr="0083096F">
        <w:rPr>
          <w:rFonts w:ascii="Gill Sans MT" w:eastAsiaTheme="minorHAnsi" w:hAnsi="Gill Sans MT" w:cs="Arial"/>
          <w:sz w:val="24"/>
          <w:szCs w:val="24"/>
        </w:rPr>
        <w:t>The Gambling Regulation Amendment (Gaming Machine Arrangements) Act 2017, which extends the licences for poker machines from 2022 to 2042, introduces a $200 daily limit on EFTPOS withdrawals at venues, and opens the door to cashless gambling.</w:t>
      </w:r>
    </w:p>
    <w:p w:rsidR="00382ED3" w:rsidRPr="0083096F" w:rsidRDefault="00382ED3" w:rsidP="00382ED3">
      <w:pPr>
        <w:pStyle w:val="ListParagraph"/>
        <w:numPr>
          <w:ilvl w:val="0"/>
          <w:numId w:val="24"/>
        </w:numPr>
        <w:autoSpaceDE w:val="0"/>
        <w:autoSpaceDN w:val="0"/>
        <w:adjustRightInd w:val="0"/>
        <w:spacing w:after="120"/>
        <w:ind w:left="777" w:hanging="357"/>
        <w:contextualSpacing w:val="0"/>
        <w:rPr>
          <w:rFonts w:ascii="Gill Sans MT" w:eastAsiaTheme="minorHAnsi" w:hAnsi="Gill Sans MT" w:cs="Arial"/>
          <w:sz w:val="24"/>
          <w:szCs w:val="24"/>
        </w:rPr>
      </w:pPr>
      <w:r w:rsidRPr="0083096F">
        <w:rPr>
          <w:rFonts w:ascii="Gill Sans MT" w:eastAsiaTheme="minorHAnsi" w:hAnsi="Gill Sans MT" w:cs="Arial"/>
          <w:sz w:val="24"/>
          <w:szCs w:val="24"/>
        </w:rPr>
        <w:t>A ban on all static betting advertising on public transport, roads and within 150 metres of all schools.</w:t>
      </w:r>
    </w:p>
    <w:p w:rsidR="00382ED3" w:rsidRPr="0083096F" w:rsidRDefault="00382ED3" w:rsidP="00382ED3">
      <w:pPr>
        <w:pStyle w:val="ListParagraph"/>
        <w:numPr>
          <w:ilvl w:val="0"/>
          <w:numId w:val="24"/>
        </w:numPr>
        <w:autoSpaceDE w:val="0"/>
        <w:autoSpaceDN w:val="0"/>
        <w:adjustRightInd w:val="0"/>
        <w:spacing w:after="120"/>
        <w:ind w:left="777" w:hanging="357"/>
        <w:contextualSpacing w:val="0"/>
        <w:rPr>
          <w:rFonts w:ascii="Gill Sans MT" w:eastAsiaTheme="minorHAnsi" w:hAnsi="Gill Sans MT" w:cs="Arial"/>
          <w:sz w:val="24"/>
          <w:szCs w:val="24"/>
        </w:rPr>
      </w:pPr>
      <w:r w:rsidRPr="0083096F">
        <w:rPr>
          <w:rFonts w:ascii="Gill Sans MT" w:eastAsiaTheme="minorHAnsi" w:hAnsi="Gill Sans MT" w:cs="Arial"/>
          <w:sz w:val="24"/>
          <w:szCs w:val="24"/>
        </w:rPr>
        <w:t>Late in 2017 the Victorian Government also flagged possible changes to the planning rules concerning gambling venues. It released for comment a paper on the Victorian Planning Provisions, which proposed at paras 52.27 and 52.28 that the role and function of the planning system in licensed premises and gambling venues be reviewed, with a view to minimising what it described as conflict and overlap with the Victorian Commission for Gambling and Liquor Regulation licencing process.</w:t>
      </w:r>
    </w:p>
    <w:p w:rsidR="00382ED3" w:rsidRPr="0083096F" w:rsidRDefault="00382ED3" w:rsidP="00382ED3">
      <w:pPr>
        <w:autoSpaceDE w:val="0"/>
        <w:autoSpaceDN w:val="0"/>
        <w:adjustRightInd w:val="0"/>
        <w:rPr>
          <w:rFonts w:ascii="Gill Sans MT" w:eastAsiaTheme="minorHAnsi" w:hAnsi="Gill Sans MT" w:cs="Arial"/>
          <w:b/>
          <w:sz w:val="24"/>
          <w:szCs w:val="24"/>
        </w:rPr>
      </w:pPr>
    </w:p>
    <w:p w:rsidR="00382ED3" w:rsidRPr="0083096F" w:rsidRDefault="00382ED3" w:rsidP="00382ED3">
      <w:pPr>
        <w:autoSpaceDE w:val="0"/>
        <w:autoSpaceDN w:val="0"/>
        <w:adjustRightInd w:val="0"/>
        <w:rPr>
          <w:rFonts w:ascii="Gill Sans MT" w:eastAsiaTheme="minorHAnsi" w:hAnsi="Gill Sans MT" w:cs="Arial"/>
          <w:b/>
          <w:sz w:val="24"/>
          <w:szCs w:val="24"/>
        </w:rPr>
      </w:pPr>
      <w:r w:rsidRPr="0083096F">
        <w:rPr>
          <w:rFonts w:ascii="Gill Sans MT" w:eastAsiaTheme="minorHAnsi" w:hAnsi="Gill Sans MT" w:cs="Arial"/>
          <w:b/>
          <w:sz w:val="24"/>
          <w:szCs w:val="24"/>
        </w:rPr>
        <w:t xml:space="preserve">Federal Reform </w:t>
      </w:r>
    </w:p>
    <w:p w:rsidR="00382ED3" w:rsidRPr="0083096F" w:rsidRDefault="00382ED3" w:rsidP="00382ED3">
      <w:p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There have been changes at the federal level since the 2014 gambling policy was adopted.</w:t>
      </w:r>
    </w:p>
    <w:p w:rsidR="00382ED3" w:rsidRPr="0083096F" w:rsidRDefault="00382ED3" w:rsidP="00382ED3">
      <w:p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In 2017 the Federal Parliament passed the Interactive Gambling Amendment Act, particularly targeted at offshore gambling operators. It</w:t>
      </w:r>
    </w:p>
    <w:p w:rsidR="00382ED3" w:rsidRPr="0083096F" w:rsidRDefault="00382ED3" w:rsidP="00382ED3">
      <w:pPr>
        <w:pStyle w:val="ListParagraph"/>
        <w:numPr>
          <w:ilvl w:val="0"/>
          <w:numId w:val="31"/>
        </w:num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Requires anyone providing a regulated interactive gambling service to hold a licence under Australian State or Territory laws</w:t>
      </w:r>
    </w:p>
    <w:p w:rsidR="00382ED3" w:rsidRPr="0083096F" w:rsidRDefault="00382ED3" w:rsidP="00382ED3">
      <w:pPr>
        <w:pStyle w:val="ListParagraph"/>
        <w:numPr>
          <w:ilvl w:val="0"/>
          <w:numId w:val="31"/>
        </w:num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Introduces a civil penalty regime to be enforced by the Australian Communications and Media Authority (ACMA).</w:t>
      </w:r>
    </w:p>
    <w:p w:rsidR="00382ED3" w:rsidRPr="0083096F" w:rsidRDefault="00382ED3" w:rsidP="00382ED3">
      <w:pPr>
        <w:pStyle w:val="ListParagraph"/>
        <w:numPr>
          <w:ilvl w:val="0"/>
          <w:numId w:val="31"/>
        </w:num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Prohibits “click-to-call” in-play betting services</w:t>
      </w:r>
    </w:p>
    <w:p w:rsidR="00382ED3" w:rsidRPr="0083096F" w:rsidRDefault="00382ED3" w:rsidP="00382ED3">
      <w:pPr>
        <w:pStyle w:val="ListParagraph"/>
        <w:numPr>
          <w:ilvl w:val="0"/>
          <w:numId w:val="31"/>
        </w:num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Prohibits wagering operators from providing lines of credit, either directly, or via a third party, to persons present in Australia.</w:t>
      </w:r>
    </w:p>
    <w:p w:rsidR="00382ED3" w:rsidRPr="0083096F" w:rsidRDefault="00382ED3" w:rsidP="00382ED3">
      <w:pPr>
        <w:autoSpaceDE w:val="0"/>
        <w:autoSpaceDN w:val="0"/>
        <w:adjustRightInd w:val="0"/>
        <w:rPr>
          <w:rFonts w:ascii="Gill Sans MT" w:eastAsiaTheme="minorHAnsi" w:hAnsi="Gill Sans MT" w:cs="Arial"/>
          <w:sz w:val="24"/>
          <w:szCs w:val="24"/>
        </w:rPr>
      </w:pPr>
    </w:p>
    <w:p w:rsidR="00382ED3" w:rsidRPr="0083096F" w:rsidRDefault="00382ED3" w:rsidP="00382ED3">
      <w:p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 xml:space="preserve">The Federal Government has also announced a sports gambling advertising ban from 5 minutes before the start of a live broadcast, to 5 minutes after it finishes, or 8.30pm, whichever comes first. The ban applies to TV, radio and internet broadcasts of sport. The ban will be implemented for TV and radio through the free to air broadcast code, enforced by ACMA, and is expected to be implemented in March this year. The Alliance for Gambling Reform has expressed concern </w:t>
      </w:r>
      <w:r w:rsidRPr="0083096F">
        <w:rPr>
          <w:rFonts w:ascii="Gill Sans MT" w:eastAsiaTheme="minorHAnsi" w:hAnsi="Gill Sans MT" w:cs="Arial"/>
          <w:sz w:val="24"/>
          <w:szCs w:val="24"/>
        </w:rPr>
        <w:lastRenderedPageBreak/>
        <w:t>that the draft Industry Code contains exemptions for “long form” sporting events, such as golf and tennis, and has described these as loopholes. There is also the question of whether 8.30pm is late enough to stop children and adolescents being exposed to extensive gambling advertising associating sport with gambling.</w:t>
      </w:r>
    </w:p>
    <w:p w:rsidR="00382ED3" w:rsidRPr="0083096F" w:rsidRDefault="00382ED3" w:rsidP="00382ED3">
      <w:pPr>
        <w:autoSpaceDE w:val="0"/>
        <w:autoSpaceDN w:val="0"/>
        <w:adjustRightInd w:val="0"/>
        <w:rPr>
          <w:rFonts w:ascii="Gill Sans MT" w:eastAsiaTheme="minorHAnsi" w:hAnsi="Gill Sans MT" w:cs="Arial"/>
          <w:sz w:val="24"/>
          <w:szCs w:val="24"/>
        </w:rPr>
      </w:pPr>
    </w:p>
    <w:p w:rsidR="00382ED3" w:rsidRPr="0083096F" w:rsidRDefault="00382ED3" w:rsidP="00382ED3">
      <w:pPr>
        <w:autoSpaceDE w:val="0"/>
        <w:autoSpaceDN w:val="0"/>
        <w:adjustRightInd w:val="0"/>
        <w:rPr>
          <w:rFonts w:ascii="Gill Sans MT" w:eastAsiaTheme="minorHAnsi" w:hAnsi="Gill Sans MT" w:cs="Arial"/>
          <w:sz w:val="24"/>
          <w:szCs w:val="24"/>
        </w:rPr>
      </w:pPr>
      <w:r w:rsidRPr="0083096F">
        <w:rPr>
          <w:rFonts w:ascii="Gill Sans MT" w:eastAsiaTheme="minorHAnsi" w:hAnsi="Gill Sans MT" w:cs="Arial"/>
          <w:sz w:val="24"/>
          <w:szCs w:val="24"/>
        </w:rPr>
        <w:t>It is highly likely that legislative responsibility for EGM gambling and further measures to reduce harm from gambling will remain firmly within the realm of State governments, with local government continuing to be involved in both the licensing and planning approvals.</w:t>
      </w:r>
    </w:p>
    <w:p w:rsidR="00382ED3" w:rsidRPr="0083096F" w:rsidRDefault="00382ED3" w:rsidP="00382ED3">
      <w:pPr>
        <w:rPr>
          <w:rFonts w:ascii="Gill Sans MT" w:hAnsi="Gill Sans MT" w:cs="Arial"/>
          <w:b/>
        </w:rPr>
      </w:pPr>
    </w:p>
    <w:p w:rsidR="00382ED3" w:rsidRPr="0083096F" w:rsidRDefault="00382ED3" w:rsidP="00382ED3">
      <w:pPr>
        <w:pStyle w:val="Heading1"/>
        <w:spacing w:before="120" w:after="120"/>
        <w:rPr>
          <w:rFonts w:ascii="Gill Sans MT" w:hAnsi="Gill Sans MT"/>
        </w:rPr>
      </w:pPr>
      <w:bookmarkStart w:id="27" w:name="_Toc504143056"/>
      <w:r w:rsidRPr="0083096F">
        <w:rPr>
          <w:rFonts w:ascii="Gill Sans MT" w:hAnsi="Gill Sans MT"/>
        </w:rPr>
        <w:t>2.13</w:t>
      </w:r>
      <w:r w:rsidRPr="0083096F">
        <w:rPr>
          <w:rFonts w:ascii="Gill Sans MT" w:hAnsi="Gill Sans MT"/>
        </w:rPr>
        <w:tab/>
        <w:t>Policy Context</w:t>
      </w:r>
      <w:bookmarkEnd w:id="27"/>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The Local Government Act (1989) states that the primary objective of a Council is to endeavour to achieve the best outcomes for the local community having regard to the long term and cumulative effects of decisions.</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 xml:space="preserve">Banyule City Council adopted a Gaming Machine Policy in 1996 that was designed to provide a consistent approach to decision making about applications for planning permits for the installation and use of EGMs and their location within the municipality. This policy was updated in 2008 and again in 2014. As previously indicated, this background discussion aims to support the formulation of a new Banyule Electronic Gaming Policy Framework. </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Over the past ten years the level of knowledge and understanding of the impact of EGMs on the community and local economy has increased significantly, and the new Policy statement seeks to incorporate and apply this learning in the local context.</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One of the key directions of the Banyule City Plan (2013-17) is Community Wellbeing.  A key influencing factor in Council’s attitude towards EGM use is the extent to which EGMs contribute to or detract from community wellbeing.  Venue operators argue that gaming provides significant community benefits in the form of employment, funding community projects and providing taxation revenue to governments.  Counselling agencies dispute official estimates about the extent of problem gaming, arguing that it is a largely hidden problem affecting a much higher percentage of gaming patrons than the government or venue operators are prepared to recognise.</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Since Council developed its current policy in 2014 a number of Victorian Councils have worked with Churches and community groups to establish the Alliance for Gambling Reform, which Banyule joined as a Partner Council last year. The Alliance seeks to reduce gambling harm and to have gambling treated as a public health issue, somewhat analogous to tobacco, alcohol, and road safety. The Alliance has been campaigning for specific gambling reforms to reduce gambling harm in Victoria, such as re-designing poker machines to remove their more addictive features, a maximum bet limit of $1 per spin, giving Councils more say in the number and location of machines, and reducing the present 20 hours per day that venues can operate for.</w:t>
      </w:r>
    </w:p>
    <w:p w:rsidR="00382ED3" w:rsidRPr="0083096F" w:rsidRDefault="00382ED3" w:rsidP="00382ED3">
      <w:pPr>
        <w:rPr>
          <w:rFonts w:ascii="Gill Sans MT" w:hAnsi="Gill Sans MT" w:cs="Arial"/>
          <w:b/>
        </w:rPr>
      </w:pPr>
    </w:p>
    <w:p w:rsidR="00382ED3" w:rsidRPr="0083096F" w:rsidRDefault="00382ED3" w:rsidP="00382ED3">
      <w:pPr>
        <w:pStyle w:val="Heading1"/>
        <w:spacing w:before="120" w:after="120"/>
        <w:rPr>
          <w:rFonts w:ascii="Gill Sans MT" w:hAnsi="Gill Sans MT"/>
        </w:rPr>
      </w:pPr>
      <w:bookmarkStart w:id="28" w:name="_Toc504143057"/>
      <w:r w:rsidRPr="0083096F">
        <w:rPr>
          <w:rFonts w:ascii="Gill Sans MT" w:hAnsi="Gill Sans MT"/>
        </w:rPr>
        <w:t>2.14</w:t>
      </w:r>
      <w:r w:rsidRPr="0083096F">
        <w:rPr>
          <w:rFonts w:ascii="Gill Sans MT" w:hAnsi="Gill Sans MT"/>
        </w:rPr>
        <w:tab/>
        <w:t>Policy Development Process</w:t>
      </w:r>
      <w:bookmarkEnd w:id="28"/>
      <w:r w:rsidRPr="0083096F">
        <w:rPr>
          <w:rFonts w:ascii="Gill Sans MT" w:hAnsi="Gill Sans MT"/>
        </w:rPr>
        <w:t xml:space="preserve"> </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 xml:space="preserve">This background paper has been prepared with reference to a range of information sources, which have been cited where relevant.  </w:t>
      </w:r>
    </w:p>
    <w:p w:rsidR="00382ED3" w:rsidRPr="0083096F" w:rsidRDefault="00382ED3" w:rsidP="00382ED3">
      <w:pPr>
        <w:rPr>
          <w:rFonts w:ascii="Gill Sans MT" w:hAnsi="Gill Sans MT" w:cs="Arial"/>
          <w:sz w:val="24"/>
          <w:szCs w:val="24"/>
        </w:rPr>
      </w:pPr>
    </w:p>
    <w:p w:rsidR="00382ED3" w:rsidRPr="0083096F" w:rsidRDefault="00382ED3" w:rsidP="00382ED3">
      <w:pPr>
        <w:rPr>
          <w:rFonts w:ascii="Gill Sans MT" w:hAnsi="Gill Sans MT" w:cs="Arial"/>
          <w:sz w:val="24"/>
          <w:szCs w:val="24"/>
        </w:rPr>
      </w:pPr>
      <w:r w:rsidRPr="0083096F">
        <w:rPr>
          <w:rFonts w:ascii="Gill Sans MT" w:hAnsi="Gill Sans MT" w:cs="Arial"/>
          <w:sz w:val="24"/>
          <w:szCs w:val="24"/>
        </w:rPr>
        <w:t xml:space="preserve">Please contact the Council’s Community and Social Planning Team on 9490 4365 for further information or to discuss this Policy Framework further. </w:t>
      </w:r>
    </w:p>
    <w:p w:rsidR="00382ED3" w:rsidRPr="0083096F" w:rsidRDefault="00382ED3" w:rsidP="00382ED3">
      <w:pPr>
        <w:rPr>
          <w:rFonts w:ascii="Gill Sans MT" w:hAnsi="Gill Sans MT" w:cs="Arial"/>
          <w:sz w:val="24"/>
          <w:szCs w:val="24"/>
        </w:rPr>
      </w:pPr>
    </w:p>
    <w:p w:rsidR="00382ED3" w:rsidRPr="0083096F" w:rsidRDefault="00382ED3" w:rsidP="00382ED3">
      <w:pPr>
        <w:pStyle w:val="Heading1"/>
        <w:spacing w:before="120" w:after="120"/>
        <w:rPr>
          <w:rFonts w:ascii="Gill Sans MT" w:hAnsi="Gill Sans MT" w:cs="Arial"/>
          <w:b w:val="0"/>
          <w:sz w:val="32"/>
          <w:szCs w:val="32"/>
        </w:rPr>
      </w:pPr>
      <w:bookmarkStart w:id="29" w:name="_Toc504143058"/>
      <w:r w:rsidRPr="0083096F">
        <w:rPr>
          <w:rFonts w:ascii="Gill Sans MT" w:hAnsi="Gill Sans MT"/>
        </w:rPr>
        <w:t>2.15 Conclusions</w:t>
      </w:r>
      <w:bookmarkEnd w:id="29"/>
      <w:r w:rsidRPr="0083096F">
        <w:rPr>
          <w:rFonts w:ascii="Gill Sans MT" w:hAnsi="Gill Sans MT"/>
        </w:rPr>
        <w:t xml:space="preserve"> </w:t>
      </w:r>
      <w:r w:rsidRPr="0083096F">
        <w:rPr>
          <w:rFonts w:ascii="Gill Sans MT" w:hAnsi="Gill Sans MT"/>
        </w:rPr>
        <w:br/>
      </w:r>
    </w:p>
    <w:p w:rsidR="00382ED3" w:rsidRPr="0083096F" w:rsidRDefault="00382ED3" w:rsidP="00382ED3">
      <w:pPr>
        <w:rPr>
          <w:rFonts w:ascii="Gill Sans MT" w:eastAsiaTheme="minorHAnsi" w:hAnsi="Gill Sans MT" w:cs="Arial"/>
          <w:sz w:val="24"/>
          <w:szCs w:val="24"/>
        </w:rPr>
      </w:pPr>
      <w:r w:rsidRPr="0083096F">
        <w:rPr>
          <w:rFonts w:ascii="Gill Sans MT" w:eastAsiaTheme="minorHAnsi" w:hAnsi="Gill Sans MT" w:cs="Arial"/>
          <w:sz w:val="24"/>
          <w:szCs w:val="24"/>
        </w:rPr>
        <w:t xml:space="preserve">Banyule City Council performs various roles and functions and engages in numerous spheres of influence in relation to the area of electronic gaming. </w:t>
      </w:r>
      <w:r w:rsidRPr="0083096F">
        <w:rPr>
          <w:rFonts w:ascii="Gill Sans MT" w:eastAsiaTheme="minorHAnsi" w:hAnsi="Gill Sans MT" w:cs="Arial"/>
          <w:sz w:val="24"/>
          <w:szCs w:val="24"/>
        </w:rPr>
        <w:br/>
      </w:r>
      <w:r w:rsidRPr="0083096F">
        <w:rPr>
          <w:rFonts w:ascii="Gill Sans MT" w:eastAsiaTheme="minorHAnsi" w:hAnsi="Gill Sans MT" w:cs="Arial"/>
          <w:sz w:val="24"/>
          <w:szCs w:val="24"/>
        </w:rPr>
        <w:br/>
        <w:t>Banyule City Council is a Statutory Authority, a Policy Advisor and at times a Community Advocate. In performing its role, the Council and its various operational areas need to be clear about its position in the following areas:</w:t>
      </w:r>
    </w:p>
    <w:p w:rsidR="00382ED3" w:rsidRPr="0083096F" w:rsidRDefault="00382ED3" w:rsidP="00382ED3">
      <w:pPr>
        <w:rPr>
          <w:rFonts w:ascii="Gill Sans MT" w:eastAsiaTheme="minorHAnsi" w:hAnsi="Gill Sans MT" w:cs="Arial"/>
          <w:sz w:val="24"/>
          <w:szCs w:val="24"/>
        </w:rPr>
      </w:pPr>
    </w:p>
    <w:p w:rsidR="00382ED3" w:rsidRPr="0083096F" w:rsidRDefault="00382ED3" w:rsidP="00382ED3">
      <w:pPr>
        <w:pStyle w:val="ListParagraph"/>
        <w:numPr>
          <w:ilvl w:val="0"/>
          <w:numId w:val="30"/>
        </w:numPr>
        <w:rPr>
          <w:rFonts w:ascii="Gill Sans MT" w:eastAsiaTheme="minorHAnsi" w:hAnsi="Gill Sans MT" w:cs="Arial"/>
          <w:sz w:val="24"/>
          <w:szCs w:val="24"/>
        </w:rPr>
      </w:pPr>
      <w:r w:rsidRPr="0083096F">
        <w:rPr>
          <w:rFonts w:ascii="Gill Sans MT" w:eastAsiaTheme="minorHAnsi" w:hAnsi="Gill Sans MT" w:cs="Arial"/>
          <w:b/>
          <w:sz w:val="24"/>
          <w:szCs w:val="24"/>
        </w:rPr>
        <w:t>Stewardship v Statutory functions:</w:t>
      </w:r>
      <w:r w:rsidRPr="0083096F">
        <w:rPr>
          <w:rFonts w:ascii="Gill Sans MT" w:eastAsiaTheme="minorHAnsi" w:hAnsi="Gill Sans MT" w:cs="Arial"/>
          <w:sz w:val="24"/>
          <w:szCs w:val="24"/>
        </w:rPr>
        <w:t xml:space="preserve"> Defining the elected Council’s Policy Position/s versus the process and procedures involved in determining planning applications and assessing enquiries in accordance with relevant legislation and planning scheme considerations.</w:t>
      </w:r>
    </w:p>
    <w:p w:rsidR="00382ED3" w:rsidRPr="0083096F" w:rsidRDefault="00382ED3" w:rsidP="00382ED3">
      <w:pPr>
        <w:pStyle w:val="ListParagraph"/>
        <w:numPr>
          <w:ilvl w:val="0"/>
          <w:numId w:val="30"/>
        </w:numPr>
        <w:rPr>
          <w:rFonts w:ascii="Gill Sans MT" w:eastAsiaTheme="minorHAnsi" w:hAnsi="Gill Sans MT" w:cs="Arial"/>
          <w:sz w:val="24"/>
          <w:szCs w:val="24"/>
        </w:rPr>
      </w:pPr>
      <w:r w:rsidRPr="0083096F">
        <w:rPr>
          <w:rFonts w:ascii="Gill Sans MT" w:eastAsiaTheme="minorHAnsi" w:hAnsi="Gill Sans MT" w:cs="Arial"/>
          <w:b/>
          <w:sz w:val="24"/>
          <w:szCs w:val="24"/>
        </w:rPr>
        <w:t>Trusts and Grants:</w:t>
      </w:r>
      <w:r w:rsidRPr="0083096F">
        <w:rPr>
          <w:rFonts w:ascii="Gill Sans MT" w:eastAsiaTheme="minorHAnsi" w:hAnsi="Gill Sans MT" w:cs="Arial"/>
          <w:sz w:val="24"/>
          <w:szCs w:val="24"/>
        </w:rPr>
        <w:t xml:space="preserve"> The Grants Pool which is funded directly by proceeds from local electronic gaming continues to grow. A working understanding of the potential impact of proposed regulatory and licensing changes and an anticipation of the likely positions and arguments to be advanced by Clubs, will aid discussion in relation to the role and future of grant pools. As the administration is managed by Council, on behalf of the Club, what might represent responsible, accountable and appropriate fiscal management of these Grants needs to be defined and the implementation of best practice management assured;</w:t>
      </w:r>
    </w:p>
    <w:p w:rsidR="00382ED3" w:rsidRPr="0083096F" w:rsidRDefault="00382ED3" w:rsidP="00382ED3">
      <w:pPr>
        <w:pStyle w:val="ListParagraph"/>
        <w:numPr>
          <w:ilvl w:val="0"/>
          <w:numId w:val="30"/>
        </w:numPr>
        <w:rPr>
          <w:rFonts w:ascii="Gill Sans MT" w:eastAsiaTheme="minorHAnsi" w:hAnsi="Gill Sans MT" w:cs="Arial"/>
          <w:sz w:val="24"/>
          <w:szCs w:val="24"/>
        </w:rPr>
      </w:pPr>
      <w:r w:rsidRPr="0083096F">
        <w:rPr>
          <w:rFonts w:ascii="Gill Sans MT" w:eastAsiaTheme="minorHAnsi" w:hAnsi="Gill Sans MT" w:cs="Arial"/>
          <w:b/>
          <w:sz w:val="24"/>
          <w:szCs w:val="24"/>
        </w:rPr>
        <w:t>Council Owned or managed land</w:t>
      </w:r>
      <w:r w:rsidRPr="0083096F">
        <w:rPr>
          <w:rFonts w:ascii="Gill Sans MT" w:eastAsiaTheme="minorHAnsi" w:hAnsi="Gill Sans MT" w:cs="Arial"/>
          <w:sz w:val="24"/>
          <w:szCs w:val="24"/>
        </w:rPr>
        <w:t>: Implications of gaming venues operated from Council owned or managed land. The contract management and leasehold arrangements in place and to be negotiated into the future need to be done in an open and transparent manner according to the stated Policy arrangements; and</w:t>
      </w:r>
    </w:p>
    <w:p w:rsidR="00382ED3" w:rsidRPr="0083096F" w:rsidRDefault="00382ED3" w:rsidP="00382ED3">
      <w:pPr>
        <w:pStyle w:val="ListParagraph"/>
        <w:numPr>
          <w:ilvl w:val="0"/>
          <w:numId w:val="30"/>
        </w:numPr>
        <w:rPr>
          <w:rFonts w:ascii="Gill Sans MT" w:eastAsiaTheme="minorHAnsi" w:hAnsi="Gill Sans MT" w:cs="Arial"/>
          <w:sz w:val="24"/>
          <w:szCs w:val="24"/>
        </w:rPr>
      </w:pPr>
      <w:r w:rsidRPr="0083096F">
        <w:rPr>
          <w:rFonts w:ascii="Gill Sans MT" w:eastAsiaTheme="minorHAnsi" w:hAnsi="Gill Sans MT" w:cs="Arial"/>
          <w:b/>
          <w:sz w:val="24"/>
          <w:szCs w:val="24"/>
        </w:rPr>
        <w:t>Direction Setting and Future applications:</w:t>
      </w:r>
      <w:r w:rsidRPr="0083096F">
        <w:rPr>
          <w:rFonts w:ascii="Gill Sans MT" w:eastAsiaTheme="minorHAnsi" w:hAnsi="Gill Sans MT" w:cs="Arial"/>
          <w:sz w:val="24"/>
          <w:szCs w:val="24"/>
        </w:rPr>
        <w:t xml:space="preserve"> Dealing with applications for the growth of the electronic gaming industry, proposed changes to legislation and arguments for gaming as a source of revenue for recreation and sporting clubs.</w:t>
      </w:r>
    </w:p>
    <w:p w:rsidR="00382ED3" w:rsidRPr="0083096F" w:rsidRDefault="00382ED3" w:rsidP="00382ED3">
      <w:pPr>
        <w:pStyle w:val="ListParagraph"/>
        <w:rPr>
          <w:rFonts w:ascii="Gill Sans MT" w:eastAsiaTheme="minorHAnsi" w:hAnsi="Gill Sans MT" w:cs="Arial"/>
          <w:i/>
          <w:sz w:val="24"/>
          <w:szCs w:val="24"/>
        </w:rPr>
      </w:pPr>
    </w:p>
    <w:p w:rsidR="00382ED3" w:rsidRPr="0083096F" w:rsidRDefault="00382ED3" w:rsidP="00382ED3">
      <w:pPr>
        <w:pStyle w:val="ListParagraph"/>
        <w:ind w:left="0"/>
        <w:jc w:val="both"/>
        <w:rPr>
          <w:rFonts w:ascii="Gill Sans MT" w:eastAsiaTheme="minorHAnsi" w:hAnsi="Gill Sans MT" w:cs="Arial"/>
          <w:sz w:val="24"/>
          <w:szCs w:val="24"/>
        </w:rPr>
      </w:pPr>
      <w:r w:rsidRPr="0083096F">
        <w:rPr>
          <w:rFonts w:ascii="Gill Sans MT" w:eastAsiaTheme="minorHAnsi" w:hAnsi="Gill Sans MT" w:cs="Arial"/>
          <w:sz w:val="24"/>
          <w:szCs w:val="24"/>
        </w:rPr>
        <w:t xml:space="preserve">The 2018 Banyule Electronic Gaming Policy Framework will consider all Council’s areas of influence, and provide clear Policy Statements in line with the City Plan Objectives to support a robust implementation framework. </w:t>
      </w:r>
    </w:p>
    <w:p w:rsidR="00382ED3" w:rsidRPr="0083096F" w:rsidRDefault="00382ED3" w:rsidP="00382ED3">
      <w:pPr>
        <w:rPr>
          <w:rFonts w:ascii="Gill Sans MT" w:hAnsi="Gill Sans MT" w:cs="Arial"/>
          <w:b/>
          <w:sz w:val="28"/>
          <w:szCs w:val="28"/>
        </w:rPr>
      </w:pPr>
    </w:p>
    <w:p w:rsidR="00382ED3" w:rsidRPr="0083096F" w:rsidRDefault="00382ED3" w:rsidP="0020718C">
      <w:pPr>
        <w:pStyle w:val="Heading1"/>
        <w:rPr>
          <w:rFonts w:ascii="Gill Sans MT" w:hAnsi="Gill Sans MT"/>
        </w:rPr>
      </w:pPr>
      <w:r w:rsidRPr="0083096F">
        <w:rPr>
          <w:rFonts w:ascii="Gill Sans MT" w:hAnsi="Gill Sans MT" w:cs="Arial"/>
        </w:rPr>
        <w:br w:type="page"/>
      </w:r>
      <w:bookmarkStart w:id="30" w:name="_Toc504143059"/>
      <w:r w:rsidRPr="0083096F">
        <w:rPr>
          <w:rFonts w:ascii="Gill Sans MT" w:hAnsi="Gill Sans MT"/>
        </w:rPr>
        <w:lastRenderedPageBreak/>
        <w:t>Reference List</w:t>
      </w:r>
      <w:bookmarkEnd w:id="30"/>
    </w:p>
    <w:p w:rsidR="00382ED3" w:rsidRPr="0083096F" w:rsidRDefault="00382ED3" w:rsidP="00382ED3">
      <w:pPr>
        <w:rPr>
          <w:rFonts w:ascii="Gill Sans MT" w:hAnsi="Gill Sans MT" w:cs="Arial"/>
        </w:rPr>
      </w:pPr>
    </w:p>
    <w:p w:rsidR="00382ED3" w:rsidRPr="0083096F" w:rsidRDefault="00382ED3" w:rsidP="00382ED3">
      <w:pPr>
        <w:rPr>
          <w:rFonts w:ascii="Gill Sans MT" w:hAnsi="Gill Sans MT"/>
          <w:lang w:val="en-US"/>
        </w:rPr>
      </w:pPr>
      <w:r w:rsidRPr="0083096F">
        <w:rPr>
          <w:rFonts w:ascii="Gill Sans MT" w:hAnsi="Gill Sans MT"/>
          <w:lang w:val="en-US"/>
        </w:rPr>
        <w:t xml:space="preserve">Banyule City Council, Electronic Gaming Machine Discussion Paper, May 2007 </w:t>
      </w:r>
    </w:p>
    <w:p w:rsidR="00382ED3" w:rsidRPr="0083096F" w:rsidRDefault="00382ED3" w:rsidP="00382ED3">
      <w:pPr>
        <w:rPr>
          <w:rFonts w:ascii="Gill Sans MT" w:hAnsi="Gill Sans MT"/>
          <w:sz w:val="18"/>
          <w:szCs w:val="18"/>
          <w:lang w:val="en-US"/>
        </w:rPr>
      </w:pPr>
    </w:p>
    <w:p w:rsidR="00382ED3" w:rsidRPr="0083096F" w:rsidRDefault="00382ED3" w:rsidP="00382ED3">
      <w:pPr>
        <w:rPr>
          <w:rFonts w:ascii="Gill Sans MT" w:hAnsi="Gill Sans MT"/>
          <w:lang w:val="en-US"/>
        </w:rPr>
      </w:pPr>
      <w:r w:rsidRPr="0083096F">
        <w:rPr>
          <w:rFonts w:ascii="Gill Sans MT" w:hAnsi="Gill Sans MT"/>
          <w:lang w:val="en-US"/>
        </w:rPr>
        <w:t>Banyule City Council, Electronic Gaming Machine Policy and Plan 2008</w:t>
      </w:r>
    </w:p>
    <w:p w:rsidR="00382ED3" w:rsidRPr="0083096F" w:rsidRDefault="00382ED3" w:rsidP="00382ED3">
      <w:pPr>
        <w:rPr>
          <w:rFonts w:ascii="Gill Sans MT" w:hAnsi="Gill Sans MT"/>
          <w:lang w:val="en-US"/>
        </w:rPr>
      </w:pPr>
    </w:p>
    <w:p w:rsidR="00382ED3" w:rsidRPr="0083096F" w:rsidRDefault="00382ED3" w:rsidP="00382ED3">
      <w:pPr>
        <w:rPr>
          <w:rFonts w:ascii="Gill Sans MT" w:hAnsi="Gill Sans MT"/>
          <w:lang w:val="en-US"/>
        </w:rPr>
      </w:pPr>
      <w:r w:rsidRPr="0083096F">
        <w:rPr>
          <w:rFonts w:ascii="Gill Sans MT" w:hAnsi="Gill Sans MT"/>
          <w:lang w:val="en-US"/>
        </w:rPr>
        <w:t>Banyule City Council, Electronic Gaming Machine Background Discussion Paper 2014</w:t>
      </w:r>
    </w:p>
    <w:p w:rsidR="00382ED3" w:rsidRPr="0083096F" w:rsidRDefault="00382ED3" w:rsidP="00382ED3">
      <w:pPr>
        <w:rPr>
          <w:rFonts w:ascii="Gill Sans MT" w:hAnsi="Gill Sans MT"/>
          <w:lang w:val="en-US"/>
        </w:rPr>
      </w:pPr>
    </w:p>
    <w:p w:rsidR="00382ED3" w:rsidRPr="0083096F" w:rsidRDefault="00382ED3" w:rsidP="00382ED3">
      <w:pPr>
        <w:rPr>
          <w:rFonts w:ascii="Gill Sans MT" w:hAnsi="Gill Sans MT"/>
          <w:lang w:val="en-US"/>
        </w:rPr>
      </w:pPr>
      <w:r w:rsidRPr="0083096F">
        <w:rPr>
          <w:rFonts w:ascii="Gill Sans MT" w:hAnsi="Gill Sans MT"/>
          <w:lang w:val="en-US"/>
        </w:rPr>
        <w:t>Department of Justice (2009) A Study of gambling in Victoria: Problem gambling from a Public Health Perspective.  Melbourne</w:t>
      </w:r>
    </w:p>
    <w:p w:rsidR="00382ED3" w:rsidRPr="0083096F" w:rsidRDefault="00382ED3" w:rsidP="00382ED3">
      <w:pPr>
        <w:rPr>
          <w:rFonts w:ascii="Gill Sans MT" w:hAnsi="Gill Sans MT"/>
          <w:lang w:val="en-US"/>
        </w:rPr>
      </w:pPr>
    </w:p>
    <w:p w:rsidR="00382ED3" w:rsidRPr="0083096F" w:rsidRDefault="00382ED3" w:rsidP="00382ED3">
      <w:pPr>
        <w:rPr>
          <w:rFonts w:ascii="Gill Sans MT" w:hAnsi="Gill Sans MT"/>
          <w:lang w:val="en-US"/>
        </w:rPr>
      </w:pPr>
      <w:r w:rsidRPr="0083096F">
        <w:rPr>
          <w:rFonts w:ascii="Gill Sans MT" w:hAnsi="Gill Sans MT"/>
          <w:lang w:val="en-US"/>
        </w:rPr>
        <w:t>Greater Dandenong City Council (Hayden Brown), A Review of Gambling-Related Issues, updated February 2017</w:t>
      </w:r>
    </w:p>
    <w:p w:rsidR="00382ED3" w:rsidRPr="0083096F" w:rsidRDefault="00382ED3" w:rsidP="00382ED3">
      <w:pPr>
        <w:rPr>
          <w:rFonts w:ascii="Gill Sans MT" w:hAnsi="Gill Sans MT"/>
          <w:lang w:val="en-US"/>
        </w:rPr>
      </w:pPr>
    </w:p>
    <w:p w:rsidR="00382ED3" w:rsidRPr="0083096F" w:rsidRDefault="00382ED3" w:rsidP="00382ED3">
      <w:pPr>
        <w:rPr>
          <w:rFonts w:ascii="Gill Sans MT" w:hAnsi="Gill Sans MT"/>
          <w:lang w:val="en-US"/>
        </w:rPr>
      </w:pPr>
      <w:r w:rsidRPr="0083096F">
        <w:rPr>
          <w:rFonts w:ascii="Gill Sans MT" w:hAnsi="Gill Sans MT"/>
          <w:lang w:val="en-US"/>
        </w:rPr>
        <w:t>Productivity Commission (2010) Gambling, Report No. 50, Canberra. p.5.1</w:t>
      </w:r>
    </w:p>
    <w:p w:rsidR="00382ED3" w:rsidRPr="0083096F" w:rsidRDefault="00382ED3" w:rsidP="00382ED3">
      <w:pPr>
        <w:rPr>
          <w:rFonts w:ascii="Gill Sans MT" w:hAnsi="Gill Sans MT"/>
          <w:lang w:val="en-US"/>
        </w:rPr>
      </w:pPr>
    </w:p>
    <w:p w:rsidR="00382ED3" w:rsidRPr="0083096F" w:rsidRDefault="00382ED3" w:rsidP="00382ED3">
      <w:pPr>
        <w:pStyle w:val="FootnoteText"/>
        <w:rPr>
          <w:rFonts w:ascii="Gill Sans MT" w:hAnsi="Gill Sans MT"/>
          <w:sz w:val="22"/>
          <w:szCs w:val="22"/>
          <w:lang w:val="en-US"/>
        </w:rPr>
      </w:pPr>
      <w:r w:rsidRPr="0083096F">
        <w:rPr>
          <w:rFonts w:ascii="Gill Sans MT" w:hAnsi="Gill Sans MT"/>
          <w:sz w:val="22"/>
          <w:szCs w:val="22"/>
          <w:lang w:val="en-US"/>
        </w:rPr>
        <w:t>VLGA. Pokies Assessments: A how to guide, VLGA, Melbourne, 2012 p.9</w:t>
      </w:r>
    </w:p>
    <w:p w:rsidR="00382ED3" w:rsidRPr="0083096F" w:rsidRDefault="00382ED3" w:rsidP="00382ED3">
      <w:pPr>
        <w:autoSpaceDE w:val="0"/>
        <w:autoSpaceDN w:val="0"/>
        <w:adjustRightInd w:val="0"/>
        <w:rPr>
          <w:rFonts w:ascii="Gill Sans MT" w:hAnsi="Gill Sans MT"/>
          <w:lang w:val="en-US"/>
        </w:rPr>
      </w:pPr>
    </w:p>
    <w:p w:rsidR="00382ED3" w:rsidRPr="0083096F" w:rsidRDefault="00382ED3" w:rsidP="00382ED3">
      <w:pPr>
        <w:autoSpaceDE w:val="0"/>
        <w:autoSpaceDN w:val="0"/>
        <w:adjustRightInd w:val="0"/>
        <w:rPr>
          <w:rFonts w:ascii="Gill Sans MT" w:hAnsi="Gill Sans MT"/>
          <w:lang w:val="en-US"/>
        </w:rPr>
      </w:pPr>
      <w:r w:rsidRPr="0083096F">
        <w:rPr>
          <w:rFonts w:ascii="Gill Sans MT" w:hAnsi="Gill Sans MT"/>
          <w:lang w:val="en-US"/>
        </w:rPr>
        <w:t>Victorian Government, Gaming Machine Arrangements 2012: statement of outcomes II, Victorian Government, Melbourne, February 2009, pp.7, 27; The Age, 'Baillieu breaks pokies vow', Melbourne, 5 February 2012.</w:t>
      </w:r>
    </w:p>
    <w:p w:rsidR="00382ED3" w:rsidRPr="0083096F" w:rsidRDefault="00382ED3" w:rsidP="00382ED3">
      <w:pPr>
        <w:autoSpaceDE w:val="0"/>
        <w:autoSpaceDN w:val="0"/>
        <w:adjustRightInd w:val="0"/>
        <w:rPr>
          <w:rFonts w:ascii="Gill Sans MT" w:hAnsi="Gill Sans MT"/>
          <w:lang w:val="en-US"/>
        </w:rPr>
      </w:pPr>
    </w:p>
    <w:p w:rsidR="00382ED3" w:rsidRPr="0083096F" w:rsidRDefault="00382ED3" w:rsidP="00382ED3">
      <w:pPr>
        <w:rPr>
          <w:rFonts w:ascii="Gill Sans MT" w:hAnsi="Gill Sans MT"/>
          <w:lang w:val="en-US"/>
        </w:rPr>
      </w:pPr>
      <w:r w:rsidRPr="0083096F">
        <w:rPr>
          <w:rFonts w:ascii="Gill Sans MT" w:hAnsi="Gill Sans MT"/>
          <w:lang w:val="en-US"/>
        </w:rPr>
        <w:t xml:space="preserve">Victorian Commission for Gaming and Liquor Regulation, </w:t>
      </w:r>
      <w:hyperlink r:id="rId21" w:history="1">
        <w:r w:rsidRPr="0083096F">
          <w:rPr>
            <w:rFonts w:ascii="Gill Sans MT" w:hAnsi="Gill Sans MT"/>
            <w:lang w:val="en-US"/>
          </w:rPr>
          <w:t>www.vcglr.vic.gov.au</w:t>
        </w:r>
      </w:hyperlink>
      <w:r w:rsidRPr="0083096F">
        <w:rPr>
          <w:rFonts w:ascii="Gill Sans MT" w:hAnsi="Gill Sans MT"/>
          <w:lang w:val="en-US"/>
        </w:rPr>
        <w:t xml:space="preserve"> (accessed, 12 January 2018)</w:t>
      </w:r>
    </w:p>
    <w:p w:rsidR="00382ED3" w:rsidRPr="0083096F" w:rsidRDefault="00382ED3" w:rsidP="00382ED3">
      <w:pPr>
        <w:rPr>
          <w:rFonts w:ascii="Gill Sans MT" w:hAnsi="Gill Sans MT"/>
          <w:lang w:val="en-US"/>
        </w:rPr>
      </w:pPr>
    </w:p>
    <w:p w:rsidR="00382ED3" w:rsidRPr="0083096F" w:rsidRDefault="00382ED3" w:rsidP="00382ED3">
      <w:pPr>
        <w:rPr>
          <w:rFonts w:ascii="Gill Sans MT" w:hAnsi="Gill Sans MT"/>
          <w:lang w:val="en-US"/>
        </w:rPr>
      </w:pPr>
      <w:r w:rsidRPr="0083096F">
        <w:rPr>
          <w:rFonts w:ascii="Gill Sans MT" w:hAnsi="Gill Sans MT"/>
          <w:lang w:val="en-US"/>
        </w:rPr>
        <w:t>Victorian Responsible Gambling Foundation, Gen Bet: Has Gambling Gatecrashed our Teens?, March 2017, responsiblegambling.vic.gov.au</w:t>
      </w:r>
    </w:p>
    <w:p w:rsidR="00382ED3" w:rsidRPr="0083096F" w:rsidRDefault="00382ED3" w:rsidP="00382ED3">
      <w:pPr>
        <w:rPr>
          <w:rFonts w:ascii="Gill Sans MT" w:hAnsi="Gill Sans MT"/>
          <w:lang w:val="en-US"/>
        </w:rPr>
      </w:pPr>
    </w:p>
    <w:p w:rsidR="00382ED3" w:rsidRPr="0083096F" w:rsidRDefault="00382ED3" w:rsidP="00382ED3">
      <w:pPr>
        <w:rPr>
          <w:rFonts w:ascii="Gill Sans MT" w:hAnsi="Gill Sans MT"/>
          <w:lang w:val="en-US"/>
        </w:rPr>
      </w:pPr>
      <w:r w:rsidRPr="0083096F">
        <w:rPr>
          <w:rFonts w:ascii="Gill Sans MT" w:hAnsi="Gill Sans MT"/>
          <w:lang w:val="en-US"/>
        </w:rPr>
        <w:t>Victorian Responsible Gambling Foundation, Hidden harm: Low-risk and Moderate-risk Gambling, July 2017, responsiblegambling.vic.gov.au</w:t>
      </w:r>
    </w:p>
    <w:p w:rsidR="00382ED3" w:rsidRPr="0083096F" w:rsidRDefault="00382ED3" w:rsidP="00382ED3">
      <w:pPr>
        <w:rPr>
          <w:rFonts w:ascii="Gill Sans MT" w:hAnsi="Gill Sans MT"/>
          <w:lang w:val="en-US"/>
        </w:rPr>
      </w:pPr>
    </w:p>
    <w:p w:rsidR="00382ED3" w:rsidRPr="0083096F" w:rsidRDefault="00382ED3" w:rsidP="00382ED3">
      <w:pPr>
        <w:rPr>
          <w:rFonts w:ascii="Gill Sans MT" w:hAnsi="Gill Sans MT"/>
          <w:lang w:val="en-US"/>
        </w:rPr>
      </w:pPr>
      <w:r w:rsidRPr="0083096F">
        <w:rPr>
          <w:rFonts w:ascii="Gill Sans MT" w:hAnsi="Gill Sans MT"/>
          <w:lang w:val="en-US"/>
        </w:rPr>
        <w:t xml:space="preserve">Yarra City Council, Gambling Policy 2017, yarracity.vic.gov.au </w:t>
      </w:r>
    </w:p>
    <w:p w:rsidR="00382ED3" w:rsidRPr="0083096F" w:rsidRDefault="00382ED3" w:rsidP="00382ED3">
      <w:pPr>
        <w:rPr>
          <w:rFonts w:ascii="Gill Sans MT" w:hAnsi="Gill Sans MT"/>
          <w:lang w:val="en-US"/>
        </w:rPr>
      </w:pPr>
    </w:p>
    <w:p w:rsidR="00382ED3" w:rsidRPr="0083096F" w:rsidRDefault="00382ED3" w:rsidP="00382ED3">
      <w:pPr>
        <w:rPr>
          <w:rFonts w:ascii="Gill Sans MT" w:hAnsi="Gill Sans MT"/>
          <w:lang w:val="en-US"/>
        </w:rPr>
      </w:pPr>
    </w:p>
    <w:p w:rsidR="00382ED3" w:rsidRPr="0083096F" w:rsidRDefault="00382ED3" w:rsidP="00382ED3">
      <w:pPr>
        <w:rPr>
          <w:rFonts w:ascii="Gill Sans MT" w:hAnsi="Gill Sans MT"/>
          <w:lang w:val="en-US"/>
        </w:rPr>
      </w:pPr>
    </w:p>
    <w:p w:rsidR="00382ED3" w:rsidRPr="0083096F" w:rsidRDefault="00382ED3" w:rsidP="00382ED3">
      <w:pPr>
        <w:rPr>
          <w:rFonts w:ascii="Gill Sans MT" w:hAnsi="Gill Sans MT"/>
          <w:sz w:val="18"/>
          <w:szCs w:val="18"/>
          <w:lang w:val="en-US"/>
        </w:rPr>
      </w:pPr>
    </w:p>
    <w:p w:rsidR="00382ED3" w:rsidRPr="0083096F" w:rsidRDefault="00382ED3" w:rsidP="00382ED3">
      <w:pPr>
        <w:rPr>
          <w:rFonts w:ascii="Gill Sans MT" w:hAnsi="Gill Sans MT"/>
          <w:sz w:val="18"/>
          <w:szCs w:val="18"/>
          <w:lang w:val="en-US"/>
        </w:rPr>
      </w:pPr>
    </w:p>
    <w:p w:rsidR="00382ED3" w:rsidRPr="0083096F" w:rsidRDefault="00382ED3" w:rsidP="00382ED3">
      <w:pPr>
        <w:spacing w:after="200" w:line="276" w:lineRule="auto"/>
        <w:rPr>
          <w:rFonts w:ascii="Gill Sans MT" w:hAnsi="Gill Sans MT"/>
          <w:lang w:val="en-US"/>
        </w:rPr>
      </w:pPr>
      <w:r w:rsidRPr="0083096F">
        <w:rPr>
          <w:rFonts w:ascii="Gill Sans MT" w:hAnsi="Gill Sans MT"/>
          <w:lang w:val="en-US"/>
        </w:rPr>
        <w:br w:type="page"/>
      </w:r>
    </w:p>
    <w:p w:rsidR="00382ED3" w:rsidRPr="0083096F" w:rsidRDefault="00382ED3" w:rsidP="00382ED3">
      <w:pPr>
        <w:pStyle w:val="Heading1"/>
        <w:spacing w:before="120" w:after="120"/>
        <w:rPr>
          <w:rFonts w:ascii="Gill Sans MT" w:hAnsi="Gill Sans MT"/>
        </w:rPr>
      </w:pPr>
      <w:bookmarkStart w:id="31" w:name="_Toc504143060"/>
      <w:r w:rsidRPr="0083096F">
        <w:rPr>
          <w:rFonts w:ascii="Gill Sans MT" w:hAnsi="Gill Sans MT"/>
        </w:rPr>
        <w:lastRenderedPageBreak/>
        <w:t>Appendix 1</w:t>
      </w:r>
      <w:bookmarkEnd w:id="31"/>
    </w:p>
    <w:p w:rsidR="00382ED3" w:rsidRPr="0083096F" w:rsidRDefault="00382ED3" w:rsidP="00382ED3">
      <w:pPr>
        <w:rPr>
          <w:rFonts w:ascii="Gill Sans MT" w:hAnsi="Gill Sans MT" w:cs="Arial"/>
          <w:b/>
          <w:color w:val="000000"/>
          <w:lang w:val="en"/>
        </w:rPr>
      </w:pPr>
    </w:p>
    <w:p w:rsidR="00382ED3" w:rsidRPr="0083096F" w:rsidRDefault="00382ED3" w:rsidP="00382ED3">
      <w:pPr>
        <w:rPr>
          <w:rFonts w:ascii="Gill Sans MT" w:hAnsi="Gill Sans MT" w:cs="Arial"/>
          <w:b/>
          <w:color w:val="000000"/>
          <w:lang w:val="en"/>
        </w:rPr>
      </w:pPr>
      <w:r w:rsidRPr="0083096F">
        <w:rPr>
          <w:rFonts w:ascii="Gill Sans MT" w:hAnsi="Gill Sans MT" w:cs="Arial"/>
          <w:b/>
          <w:color w:val="000000"/>
          <w:lang w:val="en"/>
        </w:rPr>
        <w:t xml:space="preserve">Contents and Criteria of Responsible Gaming Code of Practice for Electronic Gaming Venues </w:t>
      </w:r>
    </w:p>
    <w:p w:rsidR="00382ED3" w:rsidRPr="0083096F" w:rsidRDefault="00382ED3" w:rsidP="00382ED3">
      <w:pPr>
        <w:rPr>
          <w:rFonts w:ascii="Gill Sans MT" w:hAnsi="Gill Sans MT" w:cs="Arial"/>
          <w:b/>
          <w:color w:val="000000"/>
          <w:lang w:val="en"/>
        </w:rPr>
      </w:pPr>
    </w:p>
    <w:tbl>
      <w:tblPr>
        <w:tblW w:w="9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
        <w:gridCol w:w="2283"/>
        <w:gridCol w:w="3176"/>
        <w:gridCol w:w="3246"/>
      </w:tblGrid>
      <w:tr w:rsidR="00382ED3" w:rsidRPr="0083096F" w:rsidTr="00145B10">
        <w:tc>
          <w:tcPr>
            <w:tcW w:w="255" w:type="dxa"/>
            <w:tcBorders>
              <w:top w:val="single" w:sz="6" w:space="0" w:color="333333"/>
              <w:left w:val="single" w:sz="6" w:space="0" w:color="333333"/>
              <w:bottom w:val="single" w:sz="6" w:space="0" w:color="333333"/>
              <w:right w:val="single" w:sz="6" w:space="0" w:color="333333"/>
            </w:tcBorders>
            <w:shd w:val="clear" w:color="auto" w:fill="1F497D"/>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 </w:t>
            </w:r>
          </w:p>
        </w:tc>
        <w:tc>
          <w:tcPr>
            <w:tcW w:w="2295" w:type="dxa"/>
            <w:tcBorders>
              <w:top w:val="single" w:sz="6" w:space="0" w:color="333333"/>
              <w:left w:val="single" w:sz="6" w:space="0" w:color="333333"/>
              <w:bottom w:val="single" w:sz="6" w:space="0" w:color="333333"/>
              <w:right w:val="single" w:sz="6" w:space="0" w:color="333333"/>
            </w:tcBorders>
            <w:shd w:val="clear" w:color="auto" w:fill="1F497D"/>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b/>
                <w:bCs/>
                <w:color w:val="FFFFFF"/>
                <w:sz w:val="18"/>
                <w:szCs w:val="18"/>
                <w:lang w:eastAsia="en-AU"/>
              </w:rPr>
              <w:t>Legislative requirements for Code of Conduct</w:t>
            </w:r>
          </w:p>
        </w:tc>
        <w:tc>
          <w:tcPr>
            <w:tcW w:w="3270" w:type="dxa"/>
            <w:tcBorders>
              <w:top w:val="single" w:sz="6" w:space="0" w:color="333333"/>
              <w:left w:val="single" w:sz="6" w:space="0" w:color="333333"/>
              <w:bottom w:val="single" w:sz="6" w:space="0" w:color="333333"/>
              <w:right w:val="single" w:sz="6" w:space="0" w:color="333333"/>
            </w:tcBorders>
            <w:shd w:val="clear" w:color="auto" w:fill="1F497D"/>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b/>
                <w:bCs/>
                <w:color w:val="FFFFFF"/>
                <w:sz w:val="18"/>
                <w:szCs w:val="18"/>
                <w:lang w:eastAsia="en-AU"/>
              </w:rPr>
              <w:t>Criteria for approval</w:t>
            </w:r>
          </w:p>
        </w:tc>
        <w:tc>
          <w:tcPr>
            <w:tcW w:w="3330" w:type="dxa"/>
            <w:tcBorders>
              <w:top w:val="single" w:sz="6" w:space="0" w:color="333333"/>
              <w:left w:val="single" w:sz="6" w:space="0" w:color="333333"/>
              <w:bottom w:val="single" w:sz="6" w:space="0" w:color="333333"/>
              <w:right w:val="single" w:sz="6" w:space="0" w:color="333333"/>
            </w:tcBorders>
            <w:shd w:val="clear" w:color="auto" w:fill="1F497D"/>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b/>
                <w:bCs/>
                <w:color w:val="FFFFFF"/>
                <w:sz w:val="18"/>
                <w:szCs w:val="18"/>
                <w:lang w:eastAsia="en-AU"/>
              </w:rPr>
              <w:t>Benchmark</w:t>
            </w:r>
          </w:p>
        </w:tc>
      </w:tr>
      <w:tr w:rsidR="00382ED3" w:rsidRPr="0083096F" w:rsidTr="00145B10">
        <w:tc>
          <w:tcPr>
            <w:tcW w:w="25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1.</w:t>
            </w:r>
          </w:p>
        </w:tc>
        <w:tc>
          <w:tcPr>
            <w:tcW w:w="229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Be of a satisfactory standard - s10.1.4(2)(fd)</w:t>
            </w:r>
          </w:p>
        </w:tc>
        <w:tc>
          <w:tcPr>
            <w:tcW w:w="3270"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Code of conduct fulfils criteria below for legislative requirements 2-5</w:t>
            </w:r>
          </w:p>
        </w:tc>
        <w:tc>
          <w:tcPr>
            <w:tcW w:w="3330"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All criteria for requirements 2-5 are met</w:t>
            </w:r>
          </w:p>
        </w:tc>
      </w:tr>
      <w:tr w:rsidR="00382ED3" w:rsidRPr="0083096F" w:rsidTr="00145B10">
        <w:tc>
          <w:tcPr>
            <w:tcW w:w="25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2.</w:t>
            </w:r>
          </w:p>
        </w:tc>
        <w:tc>
          <w:tcPr>
            <w:tcW w:w="229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Comply with Responsible Gambling Code of Conduct Ministerial  Direction – s10.1.4(2)(fd) and s10.6.6</w:t>
            </w:r>
          </w:p>
        </w:tc>
        <w:tc>
          <w:tcPr>
            <w:tcW w:w="3270"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The code of conduct includes all elements of the ministerial direction, which apply to the type of gambling.</w:t>
            </w:r>
          </w:p>
        </w:tc>
        <w:tc>
          <w:tcPr>
            <w:tcW w:w="3330"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The code of conduct shows that in its practice the relevant person will meet or exceed the guidelines set out in Part A for each relevant aspect of the directions.</w:t>
            </w:r>
          </w:p>
        </w:tc>
      </w:tr>
      <w:tr w:rsidR="00382ED3" w:rsidRPr="0083096F" w:rsidTr="00145B10">
        <w:tc>
          <w:tcPr>
            <w:tcW w:w="25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3.</w:t>
            </w:r>
          </w:p>
        </w:tc>
        <w:tc>
          <w:tcPr>
            <w:tcW w:w="2310"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Demonstrate a commitment by the relevant person to foster responsible gambling section 10.6.7(a)</w:t>
            </w:r>
          </w:p>
        </w:tc>
        <w:tc>
          <w:tcPr>
            <w:tcW w:w="328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Suitable processes and structures are in place to support the implementation and ongoing operation of the code of conduct.</w:t>
            </w:r>
          </w:p>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The code of conduct is accompanied by or includes a statement stating the relevant person’s commitment to the promotion of best practice through the ongoing review of the effectiveness of these processes and structures.</w:t>
            </w:r>
          </w:p>
        </w:tc>
        <w:tc>
          <w:tcPr>
            <w:tcW w:w="334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This could cover:</w:t>
            </w:r>
          </w:p>
          <w:p w:rsidR="00382ED3" w:rsidRPr="0083096F" w:rsidRDefault="00382ED3" w:rsidP="00145B10">
            <w:pPr>
              <w:numPr>
                <w:ilvl w:val="0"/>
                <w:numId w:val="18"/>
              </w:numPr>
              <w:ind w:left="225"/>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Management and staff roles and responsibilities for implementing and evaluating the code of conduct (e.g. standing management meeting agenda item, nominated staff person to interact with customers)</w:t>
            </w:r>
          </w:p>
          <w:p w:rsidR="00382ED3" w:rsidRPr="0083096F" w:rsidRDefault="00382ED3" w:rsidP="00145B10">
            <w:pPr>
              <w:numPr>
                <w:ilvl w:val="0"/>
                <w:numId w:val="18"/>
              </w:numPr>
              <w:ind w:left="225"/>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Induction and training processes</w:t>
            </w:r>
          </w:p>
          <w:p w:rsidR="00382ED3" w:rsidRPr="0083096F" w:rsidRDefault="00382ED3" w:rsidP="00145B10">
            <w:pPr>
              <w:numPr>
                <w:ilvl w:val="0"/>
                <w:numId w:val="18"/>
              </w:numPr>
              <w:ind w:left="225"/>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Ways of raising and addressing implementation issues within the venues/outlets/other places of business (as applicable)</w:t>
            </w:r>
          </w:p>
          <w:p w:rsidR="00382ED3" w:rsidRPr="0083096F" w:rsidRDefault="00382ED3" w:rsidP="00145B10">
            <w:pPr>
              <w:numPr>
                <w:ilvl w:val="0"/>
                <w:numId w:val="18"/>
              </w:numPr>
              <w:ind w:left="225"/>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Ways of recording effective strategies and staff conduct (e.g. could become part of performance or salary arrangements, rewards and recognition program) and for publicising and rewarding these.</w:t>
            </w:r>
          </w:p>
        </w:tc>
      </w:tr>
      <w:tr w:rsidR="00382ED3" w:rsidRPr="0083096F" w:rsidTr="00145B10">
        <w:tc>
          <w:tcPr>
            <w:tcW w:w="25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4.</w:t>
            </w:r>
          </w:p>
        </w:tc>
        <w:tc>
          <w:tcPr>
            <w:tcW w:w="2310"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Be appropriate for, and relevant to, the nature and type of gambling the relevant person is authorised to provide section 10.6.7 (b)</w:t>
            </w:r>
          </w:p>
        </w:tc>
        <w:tc>
          <w:tcPr>
            <w:tcW w:w="328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The code of conduct includes all elements of the ministerial direction, which apply to the type of gambling.</w:t>
            </w:r>
          </w:p>
        </w:tc>
        <w:tc>
          <w:tcPr>
            <w:tcW w:w="334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The code of conduct should show that in its practice the relevant person will meet or exceed the Minister’s standards and requirements set out in Part A for each relevant aspect of the directions.</w:t>
            </w:r>
          </w:p>
        </w:tc>
      </w:tr>
      <w:tr w:rsidR="00382ED3" w:rsidRPr="0083096F" w:rsidTr="00145B10">
        <w:tc>
          <w:tcPr>
            <w:tcW w:w="25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5.</w:t>
            </w:r>
          </w:p>
        </w:tc>
        <w:tc>
          <w:tcPr>
            <w:tcW w:w="2310"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Set out a review process by which the relevant person will assess the operation and effectiveness of the code of conduct – section 10.6.7(c)</w:t>
            </w:r>
          </w:p>
        </w:tc>
        <w:tc>
          <w:tcPr>
            <w:tcW w:w="328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The code of conduct is accompanied by or includes a statement outlining the relevant person’s process and timeline for review of the code of conduct’s operation and effectiveness.</w:t>
            </w:r>
          </w:p>
        </w:tc>
        <w:tc>
          <w:tcPr>
            <w:tcW w:w="3345" w:type="dxa"/>
            <w:tcBorders>
              <w:top w:val="single" w:sz="6" w:space="0" w:color="333333"/>
              <w:left w:val="single" w:sz="6" w:space="0" w:color="333333"/>
              <w:bottom w:val="single" w:sz="6" w:space="0" w:color="333333"/>
              <w:right w:val="single" w:sz="6" w:space="0" w:color="333333"/>
            </w:tcBorders>
            <w:tcMar>
              <w:top w:w="150" w:type="dxa"/>
              <w:left w:w="150" w:type="dxa"/>
              <w:bottom w:w="150" w:type="dxa"/>
              <w:right w:w="150" w:type="dxa"/>
            </w:tcMar>
            <w:hideMark/>
          </w:tcPr>
          <w:p w:rsidR="00382ED3" w:rsidRPr="0083096F" w:rsidRDefault="00382ED3" w:rsidP="00145B10">
            <w:pPr>
              <w:rPr>
                <w:rFonts w:ascii="Gill Sans MT" w:hAnsi="Gill Sans MT" w:cs="Arial"/>
                <w:color w:val="000000"/>
                <w:sz w:val="18"/>
                <w:szCs w:val="18"/>
                <w:lang w:eastAsia="en-AU"/>
              </w:rPr>
            </w:pPr>
            <w:r w:rsidRPr="0083096F">
              <w:rPr>
                <w:rFonts w:ascii="Gill Sans MT" w:hAnsi="Gill Sans MT" w:cs="Arial"/>
                <w:color w:val="000000"/>
                <w:sz w:val="18"/>
                <w:szCs w:val="18"/>
                <w:lang w:eastAsia="en-AU"/>
              </w:rPr>
              <w:t>Review of the operation of the code of conduct should occur annually, and wherever possible follow industry review guidelines for responsible gambling codes of conduct suggested by the Commission and published on its website.</w:t>
            </w:r>
          </w:p>
        </w:tc>
      </w:tr>
    </w:tbl>
    <w:p w:rsidR="00382ED3" w:rsidRPr="0083096F" w:rsidRDefault="00382ED3" w:rsidP="00302185">
      <w:pPr>
        <w:pStyle w:val="Heading1"/>
        <w:spacing w:before="120"/>
        <w:rPr>
          <w:rFonts w:ascii="Gill Sans MT" w:hAnsi="Gill Sans MT"/>
        </w:rPr>
      </w:pPr>
    </w:p>
    <w:p w:rsidR="00382ED3" w:rsidRPr="0083096F" w:rsidRDefault="00382ED3" w:rsidP="00382ED3">
      <w:pPr>
        <w:rPr>
          <w:rFonts w:ascii="Gill Sans MT" w:hAnsi="Gill Sans MT"/>
        </w:rPr>
      </w:pPr>
    </w:p>
    <w:p w:rsidR="00382ED3" w:rsidRPr="0083096F" w:rsidRDefault="00382ED3" w:rsidP="00382ED3">
      <w:pPr>
        <w:rPr>
          <w:rFonts w:ascii="Gill Sans MT" w:hAnsi="Gill Sans MT"/>
        </w:rPr>
      </w:pPr>
    </w:p>
    <w:p w:rsidR="00382ED3" w:rsidRPr="0083096F" w:rsidRDefault="00382ED3" w:rsidP="00382ED3">
      <w:pPr>
        <w:rPr>
          <w:rFonts w:ascii="Gill Sans MT" w:hAnsi="Gill Sans MT"/>
        </w:rPr>
      </w:pPr>
    </w:p>
    <w:p w:rsidR="00382ED3" w:rsidRPr="0083096F" w:rsidRDefault="00382ED3" w:rsidP="00382ED3">
      <w:pPr>
        <w:rPr>
          <w:rFonts w:ascii="Gill Sans MT" w:hAnsi="Gill Sans MT"/>
        </w:rPr>
      </w:pPr>
    </w:p>
    <w:p w:rsidR="00382ED3" w:rsidRPr="0083096F" w:rsidRDefault="00382ED3" w:rsidP="00302185">
      <w:pPr>
        <w:pStyle w:val="Heading1"/>
        <w:spacing w:before="120"/>
        <w:rPr>
          <w:rFonts w:ascii="Gill Sans MT" w:hAnsi="Gill Sans MT"/>
        </w:rPr>
      </w:pPr>
    </w:p>
    <w:p w:rsidR="007C1D49" w:rsidRPr="0083096F" w:rsidRDefault="007C1D49" w:rsidP="007C1D49">
      <w:pPr>
        <w:rPr>
          <w:rFonts w:ascii="Gill Sans MT" w:hAnsi="Gill Sans MT" w:cs="Arial"/>
        </w:rPr>
      </w:pPr>
    </w:p>
    <w:sectPr w:rsidR="007C1D49" w:rsidRPr="0083096F" w:rsidSect="00DD06D0">
      <w:footerReference w:type="default" r:id="rId22"/>
      <w:pgSz w:w="11906" w:h="16838"/>
      <w:pgMar w:top="993" w:right="991"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1E7" w:rsidRDefault="008621E7" w:rsidP="00667930">
      <w:r>
        <w:separator/>
      </w:r>
    </w:p>
  </w:endnote>
  <w:endnote w:type="continuationSeparator" w:id="0">
    <w:p w:rsidR="008621E7" w:rsidRDefault="008621E7" w:rsidP="0066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104149"/>
      <w:docPartObj>
        <w:docPartGallery w:val="Page Numbers (Bottom of Page)"/>
        <w:docPartUnique/>
      </w:docPartObj>
    </w:sdtPr>
    <w:sdtEndPr>
      <w:rPr>
        <w:noProof/>
      </w:rPr>
    </w:sdtEndPr>
    <w:sdtContent>
      <w:p w:rsidR="007867CC" w:rsidRPr="001104CA" w:rsidRDefault="00F21C06" w:rsidP="001104CA">
        <w:pPr>
          <w:pStyle w:val="Footer"/>
          <w:pBdr>
            <w:top w:val="single" w:sz="4" w:space="1" w:color="632423" w:themeColor="accent2" w:themeShade="80"/>
          </w:pBdr>
        </w:pPr>
        <w:r>
          <w:rPr>
            <w:sz w:val="18"/>
            <w:szCs w:val="18"/>
          </w:rPr>
          <w:t>Gambling</w:t>
        </w:r>
        <w:r w:rsidR="007867CC" w:rsidRPr="00C908BA">
          <w:rPr>
            <w:sz w:val="18"/>
            <w:szCs w:val="18"/>
          </w:rPr>
          <w:t xml:space="preserve"> Policy 201</w:t>
        </w:r>
        <w:r w:rsidR="007867CC">
          <w:rPr>
            <w:sz w:val="18"/>
            <w:szCs w:val="18"/>
          </w:rPr>
          <w:t>8</w:t>
        </w:r>
        <w:r w:rsidR="007867CC" w:rsidRPr="00C908BA">
          <w:rPr>
            <w:sz w:val="18"/>
            <w:szCs w:val="18"/>
          </w:rPr>
          <w:t xml:space="preserve"> – Background Discussion </w:t>
        </w:r>
        <w:r w:rsidR="007867CC">
          <w:rPr>
            <w:sz w:val="18"/>
            <w:szCs w:val="18"/>
          </w:rPr>
          <w:t>Paper</w:t>
        </w:r>
        <w:r w:rsidR="007867CC">
          <w:rPr>
            <w:sz w:val="18"/>
            <w:szCs w:val="18"/>
          </w:rPr>
          <w:tab/>
        </w:r>
        <w:r w:rsidR="007867CC">
          <w:rPr>
            <w:sz w:val="18"/>
            <w:szCs w:val="18"/>
          </w:rPr>
          <w:tab/>
        </w:r>
        <w:r w:rsidR="007867CC">
          <w:fldChar w:fldCharType="begin"/>
        </w:r>
        <w:r w:rsidR="007867CC">
          <w:instrText xml:space="preserve"> PAGE   \* MERGEFORMAT </w:instrText>
        </w:r>
        <w:r w:rsidR="007867CC">
          <w:fldChar w:fldCharType="separate"/>
        </w:r>
        <w:r w:rsidR="00D90482">
          <w:rPr>
            <w:noProof/>
          </w:rPr>
          <w:t>19</w:t>
        </w:r>
        <w:r w:rsidR="007867CC">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1E7" w:rsidRDefault="008621E7" w:rsidP="00667930">
      <w:r>
        <w:separator/>
      </w:r>
    </w:p>
  </w:footnote>
  <w:footnote w:type="continuationSeparator" w:id="0">
    <w:p w:rsidR="008621E7" w:rsidRDefault="008621E7" w:rsidP="00667930">
      <w:r>
        <w:continuationSeparator/>
      </w:r>
    </w:p>
  </w:footnote>
  <w:footnote w:id="1">
    <w:p w:rsidR="007867CC" w:rsidRPr="00C557CE" w:rsidRDefault="007867CC" w:rsidP="006708FF">
      <w:pPr>
        <w:pStyle w:val="FootnoteText"/>
        <w:rPr>
          <w:rFonts w:asciiTheme="minorHAnsi" w:hAnsiTheme="minorHAnsi"/>
          <w:lang w:val="en-US"/>
        </w:rPr>
      </w:pPr>
      <w:r w:rsidRPr="00C557CE">
        <w:rPr>
          <w:rStyle w:val="FootnoteReference"/>
          <w:rFonts w:asciiTheme="minorHAnsi" w:hAnsiTheme="minorHAnsi"/>
        </w:rPr>
        <w:footnoteRef/>
      </w:r>
      <w:r w:rsidRPr="00C557CE">
        <w:rPr>
          <w:rFonts w:asciiTheme="minorHAnsi" w:hAnsiTheme="minorHAnsi"/>
        </w:rPr>
        <w:t xml:space="preserve"> </w:t>
      </w:r>
      <w:r w:rsidRPr="00C557CE">
        <w:rPr>
          <w:rFonts w:asciiTheme="minorHAnsi" w:hAnsiTheme="minorHAnsi"/>
          <w:lang w:val="en-US"/>
        </w:rPr>
        <w:t>Productivity Commission (2010) Gambling, Report No. 50, Canberra. p.5.1</w:t>
      </w:r>
    </w:p>
  </w:footnote>
  <w:footnote w:id="2">
    <w:p w:rsidR="007867CC" w:rsidRPr="00943A3A" w:rsidRDefault="007867CC" w:rsidP="00C557CE">
      <w:pPr>
        <w:autoSpaceDE w:val="0"/>
        <w:autoSpaceDN w:val="0"/>
        <w:adjustRightInd w:val="0"/>
        <w:rPr>
          <w:rFonts w:ascii="Arial" w:hAnsi="Arial" w:cs="Arial"/>
          <w:lang w:val="en-US"/>
        </w:rPr>
      </w:pPr>
      <w:r w:rsidRPr="00943A3A">
        <w:rPr>
          <w:rStyle w:val="FootnoteReference"/>
          <w:rFonts w:ascii="Arial" w:hAnsi="Arial" w:cs="Arial"/>
        </w:rPr>
        <w:footnoteRef/>
      </w:r>
      <w:r w:rsidRPr="00943A3A">
        <w:rPr>
          <w:rFonts w:ascii="Arial" w:hAnsi="Arial" w:cs="Arial"/>
        </w:rPr>
        <w:t xml:space="preserve"> </w:t>
      </w:r>
      <w:r>
        <w:rPr>
          <w:rFonts w:ascii="Arial" w:eastAsiaTheme="minorHAnsi" w:hAnsi="Arial" w:cs="Arial"/>
          <w:sz w:val="16"/>
          <w:szCs w:val="16"/>
        </w:rPr>
        <w:t>Responsible Gambling Foundation, Gambling Information Resource Office, Local Government Area Data, viewed January 2018.</w:t>
      </w:r>
    </w:p>
  </w:footnote>
  <w:footnote w:id="3">
    <w:p w:rsidR="007867CC" w:rsidRPr="00C557CE" w:rsidRDefault="007867CC" w:rsidP="00382ED3">
      <w:pPr>
        <w:pStyle w:val="FootnoteText"/>
        <w:rPr>
          <w:rFonts w:asciiTheme="minorHAnsi" w:hAnsiTheme="minorHAnsi"/>
          <w:sz w:val="18"/>
          <w:szCs w:val="18"/>
          <w:lang w:val="en-US"/>
        </w:rPr>
      </w:pPr>
      <w:r w:rsidRPr="00C557CE">
        <w:rPr>
          <w:rStyle w:val="FootnoteReference"/>
          <w:rFonts w:asciiTheme="minorHAnsi" w:hAnsiTheme="minorHAnsi"/>
          <w:sz w:val="18"/>
          <w:szCs w:val="18"/>
        </w:rPr>
        <w:footnoteRef/>
      </w:r>
      <w:r w:rsidRPr="00C557CE">
        <w:rPr>
          <w:rFonts w:asciiTheme="minorHAnsi" w:hAnsiTheme="minorHAnsi"/>
          <w:sz w:val="18"/>
          <w:szCs w:val="18"/>
        </w:rPr>
        <w:t xml:space="preserve"> </w:t>
      </w:r>
      <w:r w:rsidRPr="00C557CE">
        <w:rPr>
          <w:rFonts w:asciiTheme="minorHAnsi" w:hAnsiTheme="minorHAnsi"/>
          <w:sz w:val="18"/>
          <w:szCs w:val="18"/>
          <w:lang w:val="en-US"/>
        </w:rPr>
        <w:t xml:space="preserve">Victorian Commission for Gaming and Liquor Regulation, </w:t>
      </w:r>
      <w:hyperlink r:id="rId1" w:history="1">
        <w:r w:rsidRPr="00C557CE">
          <w:rPr>
            <w:rStyle w:val="Hyperlink"/>
            <w:rFonts w:asciiTheme="minorHAnsi" w:hAnsiTheme="minorHAnsi"/>
            <w:sz w:val="18"/>
            <w:szCs w:val="18"/>
            <w:lang w:val="en-US"/>
          </w:rPr>
          <w:t>www.vcglr.vic.gov.au</w:t>
        </w:r>
      </w:hyperlink>
      <w:r w:rsidRPr="00C557CE">
        <w:rPr>
          <w:rFonts w:asciiTheme="minorHAnsi" w:hAnsiTheme="minorHAnsi"/>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B5E"/>
    <w:multiLevelType w:val="hybridMultilevel"/>
    <w:tmpl w:val="D1100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71B1D"/>
    <w:multiLevelType w:val="multilevel"/>
    <w:tmpl w:val="D0E4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B1A44"/>
    <w:multiLevelType w:val="hybridMultilevel"/>
    <w:tmpl w:val="A568F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E41D3"/>
    <w:multiLevelType w:val="multilevel"/>
    <w:tmpl w:val="F544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81358"/>
    <w:multiLevelType w:val="hybridMultilevel"/>
    <w:tmpl w:val="7286E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B460D"/>
    <w:multiLevelType w:val="hybridMultilevel"/>
    <w:tmpl w:val="257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B61772"/>
    <w:multiLevelType w:val="hybridMultilevel"/>
    <w:tmpl w:val="48704B40"/>
    <w:lvl w:ilvl="0" w:tplc="EC24D2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32478E"/>
    <w:multiLevelType w:val="hybridMultilevel"/>
    <w:tmpl w:val="9F7E3E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C7BB3"/>
    <w:multiLevelType w:val="hybridMultilevel"/>
    <w:tmpl w:val="AC56C9BE"/>
    <w:lvl w:ilvl="0" w:tplc="F834A570">
      <w:start w:val="1"/>
      <w:numFmt w:val="bullet"/>
      <w:lvlText w:val=""/>
      <w:lvlJc w:val="left"/>
      <w:pPr>
        <w:tabs>
          <w:tab w:val="num" w:pos="720"/>
        </w:tabs>
        <w:ind w:left="720" w:hanging="360"/>
      </w:pPr>
      <w:rPr>
        <w:rFonts w:ascii="Symbol" w:hAnsi="Symbol" w:hint="default"/>
      </w:rPr>
    </w:lvl>
    <w:lvl w:ilvl="1" w:tplc="29BA3B44" w:tentative="1">
      <w:start w:val="1"/>
      <w:numFmt w:val="bullet"/>
      <w:lvlText w:val=""/>
      <w:lvlJc w:val="left"/>
      <w:pPr>
        <w:tabs>
          <w:tab w:val="num" w:pos="1440"/>
        </w:tabs>
        <w:ind w:left="1440" w:hanging="360"/>
      </w:pPr>
      <w:rPr>
        <w:rFonts w:ascii="Symbol" w:hAnsi="Symbol" w:hint="default"/>
      </w:rPr>
    </w:lvl>
    <w:lvl w:ilvl="2" w:tplc="F6ACB81C" w:tentative="1">
      <w:start w:val="1"/>
      <w:numFmt w:val="bullet"/>
      <w:lvlText w:val=""/>
      <w:lvlJc w:val="left"/>
      <w:pPr>
        <w:tabs>
          <w:tab w:val="num" w:pos="2160"/>
        </w:tabs>
        <w:ind w:left="2160" w:hanging="360"/>
      </w:pPr>
      <w:rPr>
        <w:rFonts w:ascii="Symbol" w:hAnsi="Symbol" w:hint="default"/>
      </w:rPr>
    </w:lvl>
    <w:lvl w:ilvl="3" w:tplc="9FE8192E" w:tentative="1">
      <w:start w:val="1"/>
      <w:numFmt w:val="bullet"/>
      <w:lvlText w:val=""/>
      <w:lvlJc w:val="left"/>
      <w:pPr>
        <w:tabs>
          <w:tab w:val="num" w:pos="2880"/>
        </w:tabs>
        <w:ind w:left="2880" w:hanging="360"/>
      </w:pPr>
      <w:rPr>
        <w:rFonts w:ascii="Symbol" w:hAnsi="Symbol" w:hint="default"/>
      </w:rPr>
    </w:lvl>
    <w:lvl w:ilvl="4" w:tplc="4DAAEBB2" w:tentative="1">
      <w:start w:val="1"/>
      <w:numFmt w:val="bullet"/>
      <w:lvlText w:val=""/>
      <w:lvlJc w:val="left"/>
      <w:pPr>
        <w:tabs>
          <w:tab w:val="num" w:pos="3600"/>
        </w:tabs>
        <w:ind w:left="3600" w:hanging="360"/>
      </w:pPr>
      <w:rPr>
        <w:rFonts w:ascii="Symbol" w:hAnsi="Symbol" w:hint="default"/>
      </w:rPr>
    </w:lvl>
    <w:lvl w:ilvl="5" w:tplc="BB10E0C6" w:tentative="1">
      <w:start w:val="1"/>
      <w:numFmt w:val="bullet"/>
      <w:lvlText w:val=""/>
      <w:lvlJc w:val="left"/>
      <w:pPr>
        <w:tabs>
          <w:tab w:val="num" w:pos="4320"/>
        </w:tabs>
        <w:ind w:left="4320" w:hanging="360"/>
      </w:pPr>
      <w:rPr>
        <w:rFonts w:ascii="Symbol" w:hAnsi="Symbol" w:hint="default"/>
      </w:rPr>
    </w:lvl>
    <w:lvl w:ilvl="6" w:tplc="98986D18" w:tentative="1">
      <w:start w:val="1"/>
      <w:numFmt w:val="bullet"/>
      <w:lvlText w:val=""/>
      <w:lvlJc w:val="left"/>
      <w:pPr>
        <w:tabs>
          <w:tab w:val="num" w:pos="5040"/>
        </w:tabs>
        <w:ind w:left="5040" w:hanging="360"/>
      </w:pPr>
      <w:rPr>
        <w:rFonts w:ascii="Symbol" w:hAnsi="Symbol" w:hint="default"/>
      </w:rPr>
    </w:lvl>
    <w:lvl w:ilvl="7" w:tplc="9DE8514A" w:tentative="1">
      <w:start w:val="1"/>
      <w:numFmt w:val="bullet"/>
      <w:lvlText w:val=""/>
      <w:lvlJc w:val="left"/>
      <w:pPr>
        <w:tabs>
          <w:tab w:val="num" w:pos="5760"/>
        </w:tabs>
        <w:ind w:left="5760" w:hanging="360"/>
      </w:pPr>
      <w:rPr>
        <w:rFonts w:ascii="Symbol" w:hAnsi="Symbol" w:hint="default"/>
      </w:rPr>
    </w:lvl>
    <w:lvl w:ilvl="8" w:tplc="008A162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0104951"/>
    <w:multiLevelType w:val="hybridMultilevel"/>
    <w:tmpl w:val="CE98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3F1D9C"/>
    <w:multiLevelType w:val="hybridMultilevel"/>
    <w:tmpl w:val="600E66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DC87FF4"/>
    <w:multiLevelType w:val="multilevel"/>
    <w:tmpl w:val="48704B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317B7E3E"/>
    <w:multiLevelType w:val="multilevel"/>
    <w:tmpl w:val="AEC67E1C"/>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8420BC"/>
    <w:multiLevelType w:val="hybridMultilevel"/>
    <w:tmpl w:val="2146CD84"/>
    <w:lvl w:ilvl="0" w:tplc="BF301150">
      <w:start w:val="1"/>
      <w:numFmt w:val="bullet"/>
      <w:lvlText w:val=""/>
      <w:lvlJc w:val="left"/>
      <w:pPr>
        <w:tabs>
          <w:tab w:val="num" w:pos="720"/>
        </w:tabs>
        <w:ind w:left="720" w:hanging="360"/>
      </w:pPr>
      <w:rPr>
        <w:rFonts w:ascii="Symbol" w:hAnsi="Symbol" w:hint="default"/>
      </w:rPr>
    </w:lvl>
    <w:lvl w:ilvl="1" w:tplc="7F4E6900" w:tentative="1">
      <w:start w:val="1"/>
      <w:numFmt w:val="bullet"/>
      <w:lvlText w:val=""/>
      <w:lvlJc w:val="left"/>
      <w:pPr>
        <w:tabs>
          <w:tab w:val="num" w:pos="1440"/>
        </w:tabs>
        <w:ind w:left="1440" w:hanging="360"/>
      </w:pPr>
      <w:rPr>
        <w:rFonts w:ascii="Symbol" w:hAnsi="Symbol" w:hint="default"/>
      </w:rPr>
    </w:lvl>
    <w:lvl w:ilvl="2" w:tplc="9FD09CE8" w:tentative="1">
      <w:start w:val="1"/>
      <w:numFmt w:val="bullet"/>
      <w:lvlText w:val=""/>
      <w:lvlJc w:val="left"/>
      <w:pPr>
        <w:tabs>
          <w:tab w:val="num" w:pos="2160"/>
        </w:tabs>
        <w:ind w:left="2160" w:hanging="360"/>
      </w:pPr>
      <w:rPr>
        <w:rFonts w:ascii="Symbol" w:hAnsi="Symbol" w:hint="default"/>
      </w:rPr>
    </w:lvl>
    <w:lvl w:ilvl="3" w:tplc="E2265640" w:tentative="1">
      <w:start w:val="1"/>
      <w:numFmt w:val="bullet"/>
      <w:lvlText w:val=""/>
      <w:lvlJc w:val="left"/>
      <w:pPr>
        <w:tabs>
          <w:tab w:val="num" w:pos="2880"/>
        </w:tabs>
        <w:ind w:left="2880" w:hanging="360"/>
      </w:pPr>
      <w:rPr>
        <w:rFonts w:ascii="Symbol" w:hAnsi="Symbol" w:hint="default"/>
      </w:rPr>
    </w:lvl>
    <w:lvl w:ilvl="4" w:tplc="397A882C" w:tentative="1">
      <w:start w:val="1"/>
      <w:numFmt w:val="bullet"/>
      <w:lvlText w:val=""/>
      <w:lvlJc w:val="left"/>
      <w:pPr>
        <w:tabs>
          <w:tab w:val="num" w:pos="3600"/>
        </w:tabs>
        <w:ind w:left="3600" w:hanging="360"/>
      </w:pPr>
      <w:rPr>
        <w:rFonts w:ascii="Symbol" w:hAnsi="Symbol" w:hint="default"/>
      </w:rPr>
    </w:lvl>
    <w:lvl w:ilvl="5" w:tplc="7D6E4428" w:tentative="1">
      <w:start w:val="1"/>
      <w:numFmt w:val="bullet"/>
      <w:lvlText w:val=""/>
      <w:lvlJc w:val="left"/>
      <w:pPr>
        <w:tabs>
          <w:tab w:val="num" w:pos="4320"/>
        </w:tabs>
        <w:ind w:left="4320" w:hanging="360"/>
      </w:pPr>
      <w:rPr>
        <w:rFonts w:ascii="Symbol" w:hAnsi="Symbol" w:hint="default"/>
      </w:rPr>
    </w:lvl>
    <w:lvl w:ilvl="6" w:tplc="40CAF680" w:tentative="1">
      <w:start w:val="1"/>
      <w:numFmt w:val="bullet"/>
      <w:lvlText w:val=""/>
      <w:lvlJc w:val="left"/>
      <w:pPr>
        <w:tabs>
          <w:tab w:val="num" w:pos="5040"/>
        </w:tabs>
        <w:ind w:left="5040" w:hanging="360"/>
      </w:pPr>
      <w:rPr>
        <w:rFonts w:ascii="Symbol" w:hAnsi="Symbol" w:hint="default"/>
      </w:rPr>
    </w:lvl>
    <w:lvl w:ilvl="7" w:tplc="1B227020" w:tentative="1">
      <w:start w:val="1"/>
      <w:numFmt w:val="bullet"/>
      <w:lvlText w:val=""/>
      <w:lvlJc w:val="left"/>
      <w:pPr>
        <w:tabs>
          <w:tab w:val="num" w:pos="5760"/>
        </w:tabs>
        <w:ind w:left="5760" w:hanging="360"/>
      </w:pPr>
      <w:rPr>
        <w:rFonts w:ascii="Symbol" w:hAnsi="Symbol" w:hint="default"/>
      </w:rPr>
    </w:lvl>
    <w:lvl w:ilvl="8" w:tplc="D9F40CE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3A15885"/>
    <w:multiLevelType w:val="hybridMultilevel"/>
    <w:tmpl w:val="4CB66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90C81"/>
    <w:multiLevelType w:val="hybridMultilevel"/>
    <w:tmpl w:val="BB9036BC"/>
    <w:lvl w:ilvl="0" w:tplc="2DBE56E8">
      <w:start w:val="1"/>
      <w:numFmt w:val="bullet"/>
      <w:lvlText w:val=""/>
      <w:lvlJc w:val="left"/>
      <w:pPr>
        <w:tabs>
          <w:tab w:val="num" w:pos="720"/>
        </w:tabs>
        <w:ind w:left="720" w:hanging="360"/>
      </w:pPr>
      <w:rPr>
        <w:rFonts w:ascii="Symbol" w:hAnsi="Symbol" w:hint="default"/>
      </w:rPr>
    </w:lvl>
    <w:lvl w:ilvl="1" w:tplc="582039F0" w:tentative="1">
      <w:start w:val="1"/>
      <w:numFmt w:val="bullet"/>
      <w:lvlText w:val=""/>
      <w:lvlJc w:val="left"/>
      <w:pPr>
        <w:tabs>
          <w:tab w:val="num" w:pos="1440"/>
        </w:tabs>
        <w:ind w:left="1440" w:hanging="360"/>
      </w:pPr>
      <w:rPr>
        <w:rFonts w:ascii="Symbol" w:hAnsi="Symbol" w:hint="default"/>
      </w:rPr>
    </w:lvl>
    <w:lvl w:ilvl="2" w:tplc="04C4302E" w:tentative="1">
      <w:start w:val="1"/>
      <w:numFmt w:val="bullet"/>
      <w:lvlText w:val=""/>
      <w:lvlJc w:val="left"/>
      <w:pPr>
        <w:tabs>
          <w:tab w:val="num" w:pos="2160"/>
        </w:tabs>
        <w:ind w:left="2160" w:hanging="360"/>
      </w:pPr>
      <w:rPr>
        <w:rFonts w:ascii="Symbol" w:hAnsi="Symbol" w:hint="default"/>
      </w:rPr>
    </w:lvl>
    <w:lvl w:ilvl="3" w:tplc="BE48683E" w:tentative="1">
      <w:start w:val="1"/>
      <w:numFmt w:val="bullet"/>
      <w:lvlText w:val=""/>
      <w:lvlJc w:val="left"/>
      <w:pPr>
        <w:tabs>
          <w:tab w:val="num" w:pos="2880"/>
        </w:tabs>
        <w:ind w:left="2880" w:hanging="360"/>
      </w:pPr>
      <w:rPr>
        <w:rFonts w:ascii="Symbol" w:hAnsi="Symbol" w:hint="default"/>
      </w:rPr>
    </w:lvl>
    <w:lvl w:ilvl="4" w:tplc="A02E8474" w:tentative="1">
      <w:start w:val="1"/>
      <w:numFmt w:val="bullet"/>
      <w:lvlText w:val=""/>
      <w:lvlJc w:val="left"/>
      <w:pPr>
        <w:tabs>
          <w:tab w:val="num" w:pos="3600"/>
        </w:tabs>
        <w:ind w:left="3600" w:hanging="360"/>
      </w:pPr>
      <w:rPr>
        <w:rFonts w:ascii="Symbol" w:hAnsi="Symbol" w:hint="default"/>
      </w:rPr>
    </w:lvl>
    <w:lvl w:ilvl="5" w:tplc="E0C2F3BC" w:tentative="1">
      <w:start w:val="1"/>
      <w:numFmt w:val="bullet"/>
      <w:lvlText w:val=""/>
      <w:lvlJc w:val="left"/>
      <w:pPr>
        <w:tabs>
          <w:tab w:val="num" w:pos="4320"/>
        </w:tabs>
        <w:ind w:left="4320" w:hanging="360"/>
      </w:pPr>
      <w:rPr>
        <w:rFonts w:ascii="Symbol" w:hAnsi="Symbol" w:hint="default"/>
      </w:rPr>
    </w:lvl>
    <w:lvl w:ilvl="6" w:tplc="07BE6D34" w:tentative="1">
      <w:start w:val="1"/>
      <w:numFmt w:val="bullet"/>
      <w:lvlText w:val=""/>
      <w:lvlJc w:val="left"/>
      <w:pPr>
        <w:tabs>
          <w:tab w:val="num" w:pos="5040"/>
        </w:tabs>
        <w:ind w:left="5040" w:hanging="360"/>
      </w:pPr>
      <w:rPr>
        <w:rFonts w:ascii="Symbol" w:hAnsi="Symbol" w:hint="default"/>
      </w:rPr>
    </w:lvl>
    <w:lvl w:ilvl="7" w:tplc="EDF69922" w:tentative="1">
      <w:start w:val="1"/>
      <w:numFmt w:val="bullet"/>
      <w:lvlText w:val=""/>
      <w:lvlJc w:val="left"/>
      <w:pPr>
        <w:tabs>
          <w:tab w:val="num" w:pos="5760"/>
        </w:tabs>
        <w:ind w:left="5760" w:hanging="360"/>
      </w:pPr>
      <w:rPr>
        <w:rFonts w:ascii="Symbol" w:hAnsi="Symbol" w:hint="default"/>
      </w:rPr>
    </w:lvl>
    <w:lvl w:ilvl="8" w:tplc="33ACCBA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D86EA1"/>
    <w:multiLevelType w:val="hybridMultilevel"/>
    <w:tmpl w:val="EBB89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F32AE"/>
    <w:multiLevelType w:val="hybridMultilevel"/>
    <w:tmpl w:val="12BC02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67035"/>
    <w:multiLevelType w:val="hybridMultilevel"/>
    <w:tmpl w:val="E6FE3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7B64FC7"/>
    <w:multiLevelType w:val="multilevel"/>
    <w:tmpl w:val="A61E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C7595"/>
    <w:multiLevelType w:val="multilevel"/>
    <w:tmpl w:val="48704B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4C3009AA"/>
    <w:multiLevelType w:val="hybridMultilevel"/>
    <w:tmpl w:val="C0BED3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EA042A"/>
    <w:multiLevelType w:val="hybridMultilevel"/>
    <w:tmpl w:val="D13A522C"/>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15:restartNumberingAfterBreak="0">
    <w:nsid w:val="59B00C8C"/>
    <w:multiLevelType w:val="multilevel"/>
    <w:tmpl w:val="48704B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5B993C74"/>
    <w:multiLevelType w:val="multilevel"/>
    <w:tmpl w:val="AEC67E1C"/>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515205"/>
    <w:multiLevelType w:val="hybridMultilevel"/>
    <w:tmpl w:val="26B42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2006CE"/>
    <w:multiLevelType w:val="hybridMultilevel"/>
    <w:tmpl w:val="595A56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272CAC"/>
    <w:multiLevelType w:val="multilevel"/>
    <w:tmpl w:val="AEC67E1C"/>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A82BD2"/>
    <w:multiLevelType w:val="multilevel"/>
    <w:tmpl w:val="92D0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665B4"/>
    <w:multiLevelType w:val="hybridMultilevel"/>
    <w:tmpl w:val="C73E10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05F35FA"/>
    <w:multiLevelType w:val="hybridMultilevel"/>
    <w:tmpl w:val="CBB2E38E"/>
    <w:lvl w:ilvl="0" w:tplc="7AC0A36C">
      <w:start w:val="1"/>
      <w:numFmt w:val="bullet"/>
      <w:lvlText w:val=""/>
      <w:lvlJc w:val="left"/>
      <w:pPr>
        <w:tabs>
          <w:tab w:val="num" w:pos="720"/>
        </w:tabs>
        <w:ind w:left="720" w:hanging="360"/>
      </w:pPr>
      <w:rPr>
        <w:rFonts w:ascii="Symbol" w:hAnsi="Symbol" w:hint="default"/>
      </w:rPr>
    </w:lvl>
    <w:lvl w:ilvl="1" w:tplc="DE32AB2A" w:tentative="1">
      <w:start w:val="1"/>
      <w:numFmt w:val="bullet"/>
      <w:lvlText w:val=""/>
      <w:lvlJc w:val="left"/>
      <w:pPr>
        <w:tabs>
          <w:tab w:val="num" w:pos="1440"/>
        </w:tabs>
        <w:ind w:left="1440" w:hanging="360"/>
      </w:pPr>
      <w:rPr>
        <w:rFonts w:ascii="Symbol" w:hAnsi="Symbol" w:hint="default"/>
      </w:rPr>
    </w:lvl>
    <w:lvl w:ilvl="2" w:tplc="EF2C2054" w:tentative="1">
      <w:start w:val="1"/>
      <w:numFmt w:val="bullet"/>
      <w:lvlText w:val=""/>
      <w:lvlJc w:val="left"/>
      <w:pPr>
        <w:tabs>
          <w:tab w:val="num" w:pos="2160"/>
        </w:tabs>
        <w:ind w:left="2160" w:hanging="360"/>
      </w:pPr>
      <w:rPr>
        <w:rFonts w:ascii="Symbol" w:hAnsi="Symbol" w:hint="default"/>
      </w:rPr>
    </w:lvl>
    <w:lvl w:ilvl="3" w:tplc="B2669332" w:tentative="1">
      <w:start w:val="1"/>
      <w:numFmt w:val="bullet"/>
      <w:lvlText w:val=""/>
      <w:lvlJc w:val="left"/>
      <w:pPr>
        <w:tabs>
          <w:tab w:val="num" w:pos="2880"/>
        </w:tabs>
        <w:ind w:left="2880" w:hanging="360"/>
      </w:pPr>
      <w:rPr>
        <w:rFonts w:ascii="Symbol" w:hAnsi="Symbol" w:hint="default"/>
      </w:rPr>
    </w:lvl>
    <w:lvl w:ilvl="4" w:tplc="85B019A0" w:tentative="1">
      <w:start w:val="1"/>
      <w:numFmt w:val="bullet"/>
      <w:lvlText w:val=""/>
      <w:lvlJc w:val="left"/>
      <w:pPr>
        <w:tabs>
          <w:tab w:val="num" w:pos="3600"/>
        </w:tabs>
        <w:ind w:left="3600" w:hanging="360"/>
      </w:pPr>
      <w:rPr>
        <w:rFonts w:ascii="Symbol" w:hAnsi="Symbol" w:hint="default"/>
      </w:rPr>
    </w:lvl>
    <w:lvl w:ilvl="5" w:tplc="690696A6" w:tentative="1">
      <w:start w:val="1"/>
      <w:numFmt w:val="bullet"/>
      <w:lvlText w:val=""/>
      <w:lvlJc w:val="left"/>
      <w:pPr>
        <w:tabs>
          <w:tab w:val="num" w:pos="4320"/>
        </w:tabs>
        <w:ind w:left="4320" w:hanging="360"/>
      </w:pPr>
      <w:rPr>
        <w:rFonts w:ascii="Symbol" w:hAnsi="Symbol" w:hint="default"/>
      </w:rPr>
    </w:lvl>
    <w:lvl w:ilvl="6" w:tplc="0242D920" w:tentative="1">
      <w:start w:val="1"/>
      <w:numFmt w:val="bullet"/>
      <w:lvlText w:val=""/>
      <w:lvlJc w:val="left"/>
      <w:pPr>
        <w:tabs>
          <w:tab w:val="num" w:pos="5040"/>
        </w:tabs>
        <w:ind w:left="5040" w:hanging="360"/>
      </w:pPr>
      <w:rPr>
        <w:rFonts w:ascii="Symbol" w:hAnsi="Symbol" w:hint="default"/>
      </w:rPr>
    </w:lvl>
    <w:lvl w:ilvl="7" w:tplc="38DA88E2" w:tentative="1">
      <w:start w:val="1"/>
      <w:numFmt w:val="bullet"/>
      <w:lvlText w:val=""/>
      <w:lvlJc w:val="left"/>
      <w:pPr>
        <w:tabs>
          <w:tab w:val="num" w:pos="5760"/>
        </w:tabs>
        <w:ind w:left="5760" w:hanging="360"/>
      </w:pPr>
      <w:rPr>
        <w:rFonts w:ascii="Symbol" w:hAnsi="Symbol" w:hint="default"/>
      </w:rPr>
    </w:lvl>
    <w:lvl w:ilvl="8" w:tplc="D1D2F92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5853204"/>
    <w:multiLevelType w:val="multilevel"/>
    <w:tmpl w:val="AEC67E1C"/>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7"/>
  </w:num>
  <w:num w:numId="3">
    <w:abstractNumId w:val="26"/>
  </w:num>
  <w:num w:numId="4">
    <w:abstractNumId w:val="22"/>
  </w:num>
  <w:num w:numId="5">
    <w:abstractNumId w:val="21"/>
  </w:num>
  <w:num w:numId="6">
    <w:abstractNumId w:val="3"/>
  </w:num>
  <w:num w:numId="7">
    <w:abstractNumId w:val="19"/>
  </w:num>
  <w:num w:numId="8">
    <w:abstractNumId w:val="1"/>
  </w:num>
  <w:num w:numId="9">
    <w:abstractNumId w:val="25"/>
  </w:num>
  <w:num w:numId="10">
    <w:abstractNumId w:val="14"/>
  </w:num>
  <w:num w:numId="11">
    <w:abstractNumId w:val="31"/>
  </w:num>
  <w:num w:numId="12">
    <w:abstractNumId w:val="30"/>
  </w:num>
  <w:num w:numId="13">
    <w:abstractNumId w:val="13"/>
  </w:num>
  <w:num w:numId="14">
    <w:abstractNumId w:val="15"/>
  </w:num>
  <w:num w:numId="15">
    <w:abstractNumId w:val="8"/>
  </w:num>
  <w:num w:numId="16">
    <w:abstractNumId w:val="10"/>
  </w:num>
  <w:num w:numId="17">
    <w:abstractNumId w:val="4"/>
  </w:num>
  <w:num w:numId="18">
    <w:abstractNumId w:val="28"/>
  </w:num>
  <w:num w:numId="19">
    <w:abstractNumId w:val="9"/>
  </w:num>
  <w:num w:numId="20">
    <w:abstractNumId w:val="2"/>
  </w:num>
  <w:num w:numId="21">
    <w:abstractNumId w:val="12"/>
  </w:num>
  <w:num w:numId="22">
    <w:abstractNumId w:val="24"/>
  </w:num>
  <w:num w:numId="23">
    <w:abstractNumId w:val="27"/>
  </w:num>
  <w:num w:numId="24">
    <w:abstractNumId w:val="29"/>
  </w:num>
  <w:num w:numId="25">
    <w:abstractNumId w:val="16"/>
  </w:num>
  <w:num w:numId="26">
    <w:abstractNumId w:val="6"/>
  </w:num>
  <w:num w:numId="27">
    <w:abstractNumId w:val="11"/>
  </w:num>
  <w:num w:numId="28">
    <w:abstractNumId w:val="23"/>
  </w:num>
  <w:num w:numId="29">
    <w:abstractNumId w:val="20"/>
  </w:num>
  <w:num w:numId="30">
    <w:abstractNumId w:val="0"/>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49"/>
    <w:rsid w:val="00066FF2"/>
    <w:rsid w:val="00080E31"/>
    <w:rsid w:val="00090E24"/>
    <w:rsid w:val="00095D13"/>
    <w:rsid w:val="000B4E0D"/>
    <w:rsid w:val="000C3A8A"/>
    <w:rsid w:val="000C42EA"/>
    <w:rsid w:val="000C4944"/>
    <w:rsid w:val="000D0096"/>
    <w:rsid w:val="000E0250"/>
    <w:rsid w:val="000F306E"/>
    <w:rsid w:val="00107A54"/>
    <w:rsid w:val="001104CA"/>
    <w:rsid w:val="00110555"/>
    <w:rsid w:val="001124B3"/>
    <w:rsid w:val="00141D2B"/>
    <w:rsid w:val="00145B10"/>
    <w:rsid w:val="00187AAB"/>
    <w:rsid w:val="0019106B"/>
    <w:rsid w:val="001C2EF6"/>
    <w:rsid w:val="001E1E8D"/>
    <w:rsid w:val="00201FF2"/>
    <w:rsid w:val="0020718C"/>
    <w:rsid w:val="002071E0"/>
    <w:rsid w:val="00214C0F"/>
    <w:rsid w:val="002210D2"/>
    <w:rsid w:val="00235BDB"/>
    <w:rsid w:val="0026275F"/>
    <w:rsid w:val="002B3B3D"/>
    <w:rsid w:val="00302185"/>
    <w:rsid w:val="00307C7F"/>
    <w:rsid w:val="00312CD7"/>
    <w:rsid w:val="00330BE4"/>
    <w:rsid w:val="003562AC"/>
    <w:rsid w:val="0037069B"/>
    <w:rsid w:val="003731CB"/>
    <w:rsid w:val="00382ED3"/>
    <w:rsid w:val="00397FEA"/>
    <w:rsid w:val="003A427F"/>
    <w:rsid w:val="003C70FD"/>
    <w:rsid w:val="003C740F"/>
    <w:rsid w:val="003D1718"/>
    <w:rsid w:val="003E45CE"/>
    <w:rsid w:val="004069C7"/>
    <w:rsid w:val="0043195E"/>
    <w:rsid w:val="00470C87"/>
    <w:rsid w:val="00481B51"/>
    <w:rsid w:val="004A195F"/>
    <w:rsid w:val="004D0CAB"/>
    <w:rsid w:val="004F2549"/>
    <w:rsid w:val="004F3947"/>
    <w:rsid w:val="00503285"/>
    <w:rsid w:val="00511B5C"/>
    <w:rsid w:val="00511B92"/>
    <w:rsid w:val="00511FC6"/>
    <w:rsid w:val="00515923"/>
    <w:rsid w:val="00571302"/>
    <w:rsid w:val="00572324"/>
    <w:rsid w:val="00580725"/>
    <w:rsid w:val="0059700E"/>
    <w:rsid w:val="005A531E"/>
    <w:rsid w:val="005A5F38"/>
    <w:rsid w:val="005B2E93"/>
    <w:rsid w:val="005B4DDF"/>
    <w:rsid w:val="005E2021"/>
    <w:rsid w:val="00667930"/>
    <w:rsid w:val="006708FF"/>
    <w:rsid w:val="0069418C"/>
    <w:rsid w:val="00697A5F"/>
    <w:rsid w:val="006B49C2"/>
    <w:rsid w:val="006B5120"/>
    <w:rsid w:val="006B563F"/>
    <w:rsid w:val="00710C29"/>
    <w:rsid w:val="007264F3"/>
    <w:rsid w:val="00752121"/>
    <w:rsid w:val="00752D04"/>
    <w:rsid w:val="007565DD"/>
    <w:rsid w:val="007714C2"/>
    <w:rsid w:val="007721DF"/>
    <w:rsid w:val="00775095"/>
    <w:rsid w:val="00777701"/>
    <w:rsid w:val="007807E8"/>
    <w:rsid w:val="00783FEE"/>
    <w:rsid w:val="007860D1"/>
    <w:rsid w:val="007867CC"/>
    <w:rsid w:val="00795B6B"/>
    <w:rsid w:val="007C1D49"/>
    <w:rsid w:val="007C1F4D"/>
    <w:rsid w:val="007E17B7"/>
    <w:rsid w:val="00805721"/>
    <w:rsid w:val="00815A99"/>
    <w:rsid w:val="0082632A"/>
    <w:rsid w:val="0083096F"/>
    <w:rsid w:val="00837202"/>
    <w:rsid w:val="008445AD"/>
    <w:rsid w:val="00846D89"/>
    <w:rsid w:val="00854241"/>
    <w:rsid w:val="008621E7"/>
    <w:rsid w:val="008809C3"/>
    <w:rsid w:val="00895F1E"/>
    <w:rsid w:val="00897BD6"/>
    <w:rsid w:val="008D5BFE"/>
    <w:rsid w:val="008E1E8B"/>
    <w:rsid w:val="008E6727"/>
    <w:rsid w:val="0090593E"/>
    <w:rsid w:val="00913857"/>
    <w:rsid w:val="00915C0B"/>
    <w:rsid w:val="00916B74"/>
    <w:rsid w:val="0093402F"/>
    <w:rsid w:val="009352CF"/>
    <w:rsid w:val="00943A3A"/>
    <w:rsid w:val="0096305D"/>
    <w:rsid w:val="0097042C"/>
    <w:rsid w:val="00975E40"/>
    <w:rsid w:val="00983225"/>
    <w:rsid w:val="00983BEF"/>
    <w:rsid w:val="00986011"/>
    <w:rsid w:val="009923DC"/>
    <w:rsid w:val="009B0B48"/>
    <w:rsid w:val="009F60EC"/>
    <w:rsid w:val="00A14B8A"/>
    <w:rsid w:val="00A87218"/>
    <w:rsid w:val="00A92E48"/>
    <w:rsid w:val="00A93324"/>
    <w:rsid w:val="00A94EE8"/>
    <w:rsid w:val="00AA132D"/>
    <w:rsid w:val="00AC1D16"/>
    <w:rsid w:val="00AE036E"/>
    <w:rsid w:val="00AF0C78"/>
    <w:rsid w:val="00AF29D4"/>
    <w:rsid w:val="00AF7D26"/>
    <w:rsid w:val="00B02FB3"/>
    <w:rsid w:val="00B530AE"/>
    <w:rsid w:val="00B5514C"/>
    <w:rsid w:val="00B60582"/>
    <w:rsid w:val="00B76232"/>
    <w:rsid w:val="00B97A7E"/>
    <w:rsid w:val="00BA452C"/>
    <w:rsid w:val="00BC3CA9"/>
    <w:rsid w:val="00BC64C0"/>
    <w:rsid w:val="00C122FB"/>
    <w:rsid w:val="00C557CE"/>
    <w:rsid w:val="00C61CA9"/>
    <w:rsid w:val="00C63CEA"/>
    <w:rsid w:val="00C82D23"/>
    <w:rsid w:val="00CA17B4"/>
    <w:rsid w:val="00CB18F5"/>
    <w:rsid w:val="00CD03FA"/>
    <w:rsid w:val="00CF3338"/>
    <w:rsid w:val="00CF5502"/>
    <w:rsid w:val="00CF6171"/>
    <w:rsid w:val="00D061CC"/>
    <w:rsid w:val="00D4651F"/>
    <w:rsid w:val="00D90482"/>
    <w:rsid w:val="00DD06D0"/>
    <w:rsid w:val="00DD16D3"/>
    <w:rsid w:val="00DD22D8"/>
    <w:rsid w:val="00DF46F7"/>
    <w:rsid w:val="00E16738"/>
    <w:rsid w:val="00E22177"/>
    <w:rsid w:val="00E23955"/>
    <w:rsid w:val="00E24A46"/>
    <w:rsid w:val="00E24DDE"/>
    <w:rsid w:val="00E25856"/>
    <w:rsid w:val="00E30609"/>
    <w:rsid w:val="00E310AD"/>
    <w:rsid w:val="00E31564"/>
    <w:rsid w:val="00E43F9C"/>
    <w:rsid w:val="00E70662"/>
    <w:rsid w:val="00E90CC1"/>
    <w:rsid w:val="00EA1418"/>
    <w:rsid w:val="00EB7624"/>
    <w:rsid w:val="00EC33C7"/>
    <w:rsid w:val="00EC4019"/>
    <w:rsid w:val="00EE642D"/>
    <w:rsid w:val="00F01292"/>
    <w:rsid w:val="00F1250F"/>
    <w:rsid w:val="00F21C06"/>
    <w:rsid w:val="00F221F5"/>
    <w:rsid w:val="00F66965"/>
    <w:rsid w:val="00F742C1"/>
    <w:rsid w:val="00F92DCF"/>
    <w:rsid w:val="00FD5575"/>
    <w:rsid w:val="00FD614E"/>
    <w:rsid w:val="00FE5A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791E1-E754-486F-BDBA-C8751049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49"/>
    <w:pPr>
      <w:spacing w:after="0" w:line="240" w:lineRule="auto"/>
    </w:pPr>
    <w:rPr>
      <w:rFonts w:ascii="Verdana" w:eastAsia="Times New Roman" w:hAnsi="Verdana" w:cs="Times New Roman"/>
    </w:rPr>
  </w:style>
  <w:style w:type="paragraph" w:styleId="Heading1">
    <w:name w:val="heading 1"/>
    <w:basedOn w:val="Normal"/>
    <w:next w:val="Normal"/>
    <w:link w:val="Heading1Char"/>
    <w:uiPriority w:val="9"/>
    <w:qFormat/>
    <w:rsid w:val="005723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D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C1D49"/>
    <w:rPr>
      <w:color w:val="0000FF"/>
      <w:u w:val="single"/>
    </w:rPr>
  </w:style>
  <w:style w:type="paragraph" w:styleId="ListParagraph">
    <w:name w:val="List Paragraph"/>
    <w:basedOn w:val="Normal"/>
    <w:uiPriority w:val="34"/>
    <w:qFormat/>
    <w:rsid w:val="000C4944"/>
    <w:pPr>
      <w:ind w:left="720"/>
      <w:contextualSpacing/>
    </w:pPr>
  </w:style>
  <w:style w:type="paragraph" w:styleId="FootnoteText">
    <w:name w:val="footnote text"/>
    <w:basedOn w:val="Normal"/>
    <w:link w:val="FootnoteTextChar"/>
    <w:uiPriority w:val="99"/>
    <w:semiHidden/>
    <w:unhideWhenUsed/>
    <w:rsid w:val="00667930"/>
    <w:rPr>
      <w:sz w:val="20"/>
      <w:szCs w:val="20"/>
    </w:rPr>
  </w:style>
  <w:style w:type="character" w:customStyle="1" w:styleId="FootnoteTextChar">
    <w:name w:val="Footnote Text Char"/>
    <w:basedOn w:val="DefaultParagraphFont"/>
    <w:link w:val="FootnoteText"/>
    <w:uiPriority w:val="99"/>
    <w:semiHidden/>
    <w:rsid w:val="00667930"/>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667930"/>
    <w:rPr>
      <w:vertAlign w:val="superscript"/>
    </w:rPr>
  </w:style>
  <w:style w:type="paragraph" w:styleId="NormalWeb">
    <w:name w:val="Normal (Web)"/>
    <w:basedOn w:val="Normal"/>
    <w:uiPriority w:val="99"/>
    <w:unhideWhenUsed/>
    <w:rsid w:val="0090593E"/>
    <w:pPr>
      <w:spacing w:before="100" w:beforeAutospacing="1" w:after="100" w:afterAutospacing="1"/>
    </w:pPr>
    <w:rPr>
      <w:rFonts w:ascii="Times New Roman" w:hAnsi="Times New Roman"/>
      <w:color w:val="000000"/>
      <w:sz w:val="24"/>
      <w:szCs w:val="24"/>
      <w:lang w:eastAsia="en-AU"/>
    </w:rPr>
  </w:style>
  <w:style w:type="paragraph" w:styleId="BalloonText">
    <w:name w:val="Balloon Text"/>
    <w:basedOn w:val="Normal"/>
    <w:link w:val="BalloonTextChar"/>
    <w:uiPriority w:val="99"/>
    <w:semiHidden/>
    <w:unhideWhenUsed/>
    <w:rsid w:val="0090593E"/>
    <w:rPr>
      <w:rFonts w:ascii="Tahoma" w:hAnsi="Tahoma" w:cs="Tahoma"/>
      <w:sz w:val="16"/>
      <w:szCs w:val="16"/>
    </w:rPr>
  </w:style>
  <w:style w:type="character" w:customStyle="1" w:styleId="BalloonTextChar">
    <w:name w:val="Balloon Text Char"/>
    <w:basedOn w:val="DefaultParagraphFont"/>
    <w:link w:val="BalloonText"/>
    <w:uiPriority w:val="99"/>
    <w:semiHidden/>
    <w:rsid w:val="0090593E"/>
    <w:rPr>
      <w:rFonts w:ascii="Tahoma" w:eastAsia="Times New Roman" w:hAnsi="Tahoma" w:cs="Tahoma"/>
      <w:sz w:val="16"/>
      <w:szCs w:val="16"/>
    </w:rPr>
  </w:style>
  <w:style w:type="paragraph" w:customStyle="1" w:styleId="FactSheetNormal">
    <w:name w:val="Fact Sheet Normal"/>
    <w:basedOn w:val="Normal"/>
    <w:uiPriority w:val="99"/>
    <w:rsid w:val="00710C29"/>
    <w:pPr>
      <w:spacing w:before="100" w:after="60"/>
    </w:pPr>
    <w:rPr>
      <w:rFonts w:ascii="Calibri" w:hAnsi="Calibri" w:cs="Calibri"/>
      <w:sz w:val="20"/>
      <w:lang w:eastAsia="en-AU"/>
    </w:rPr>
  </w:style>
  <w:style w:type="character" w:styleId="Strong">
    <w:name w:val="Strong"/>
    <w:basedOn w:val="DefaultParagraphFont"/>
    <w:uiPriority w:val="22"/>
    <w:qFormat/>
    <w:rsid w:val="005A531E"/>
    <w:rPr>
      <w:b/>
      <w:bCs/>
    </w:rPr>
  </w:style>
  <w:style w:type="character" w:customStyle="1" w:styleId="Heading1Char">
    <w:name w:val="Heading 1 Char"/>
    <w:basedOn w:val="DefaultParagraphFont"/>
    <w:link w:val="Heading1"/>
    <w:uiPriority w:val="9"/>
    <w:rsid w:val="0057232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81B51"/>
    <w:pPr>
      <w:tabs>
        <w:tab w:val="center" w:pos="4513"/>
        <w:tab w:val="right" w:pos="9026"/>
      </w:tabs>
    </w:pPr>
  </w:style>
  <w:style w:type="character" w:customStyle="1" w:styleId="HeaderChar">
    <w:name w:val="Header Char"/>
    <w:basedOn w:val="DefaultParagraphFont"/>
    <w:link w:val="Header"/>
    <w:uiPriority w:val="99"/>
    <w:rsid w:val="00481B51"/>
    <w:rPr>
      <w:rFonts w:ascii="Verdana" w:eastAsia="Times New Roman" w:hAnsi="Verdana" w:cs="Times New Roman"/>
    </w:rPr>
  </w:style>
  <w:style w:type="paragraph" w:styleId="Footer">
    <w:name w:val="footer"/>
    <w:basedOn w:val="Normal"/>
    <w:link w:val="FooterChar"/>
    <w:uiPriority w:val="99"/>
    <w:unhideWhenUsed/>
    <w:rsid w:val="00481B51"/>
    <w:pPr>
      <w:tabs>
        <w:tab w:val="center" w:pos="4513"/>
        <w:tab w:val="right" w:pos="9026"/>
      </w:tabs>
    </w:pPr>
  </w:style>
  <w:style w:type="character" w:customStyle="1" w:styleId="FooterChar">
    <w:name w:val="Footer Char"/>
    <w:basedOn w:val="DefaultParagraphFont"/>
    <w:link w:val="Footer"/>
    <w:uiPriority w:val="99"/>
    <w:rsid w:val="00481B51"/>
    <w:rPr>
      <w:rFonts w:ascii="Verdana" w:eastAsia="Times New Roman" w:hAnsi="Verdana" w:cs="Times New Roman"/>
    </w:rPr>
  </w:style>
  <w:style w:type="table" w:styleId="LightList">
    <w:name w:val="Light List"/>
    <w:basedOn w:val="TableNormal"/>
    <w:uiPriority w:val="61"/>
    <w:rsid w:val="00E24D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470C87"/>
    <w:rPr>
      <w:sz w:val="16"/>
      <w:szCs w:val="16"/>
    </w:rPr>
  </w:style>
  <w:style w:type="paragraph" w:styleId="CommentText">
    <w:name w:val="annotation text"/>
    <w:basedOn w:val="Normal"/>
    <w:link w:val="CommentTextChar"/>
    <w:uiPriority w:val="99"/>
    <w:semiHidden/>
    <w:unhideWhenUsed/>
    <w:rsid w:val="00470C87"/>
    <w:rPr>
      <w:sz w:val="20"/>
      <w:szCs w:val="20"/>
    </w:rPr>
  </w:style>
  <w:style w:type="character" w:customStyle="1" w:styleId="CommentTextChar">
    <w:name w:val="Comment Text Char"/>
    <w:basedOn w:val="DefaultParagraphFont"/>
    <w:link w:val="CommentText"/>
    <w:uiPriority w:val="99"/>
    <w:semiHidden/>
    <w:rsid w:val="00470C87"/>
    <w:rPr>
      <w:rFonts w:ascii="Verdana" w:eastAsia="Times New Roman" w:hAnsi="Verdana" w:cs="Times New Roman"/>
      <w:sz w:val="20"/>
      <w:szCs w:val="20"/>
    </w:rPr>
  </w:style>
  <w:style w:type="table" w:styleId="LightShading-Accent6">
    <w:name w:val="Light Shading Accent 6"/>
    <w:basedOn w:val="TableNormal"/>
    <w:uiPriority w:val="60"/>
    <w:rsid w:val="007860D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AF29D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AF29D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F29D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Heading">
    <w:name w:val="TOC Heading"/>
    <w:basedOn w:val="Heading1"/>
    <w:next w:val="Normal"/>
    <w:uiPriority w:val="39"/>
    <w:semiHidden/>
    <w:unhideWhenUsed/>
    <w:qFormat/>
    <w:rsid w:val="00302185"/>
    <w:pPr>
      <w:spacing w:line="276" w:lineRule="auto"/>
      <w:outlineLvl w:val="9"/>
    </w:pPr>
    <w:rPr>
      <w:lang w:val="en-US" w:eastAsia="ja-JP"/>
    </w:rPr>
  </w:style>
  <w:style w:type="paragraph" w:styleId="TOC1">
    <w:name w:val="toc 1"/>
    <w:basedOn w:val="Normal"/>
    <w:next w:val="Normal"/>
    <w:autoRedefine/>
    <w:uiPriority w:val="39"/>
    <w:unhideWhenUsed/>
    <w:rsid w:val="00CF3338"/>
    <w:pPr>
      <w:spacing w:after="100"/>
    </w:pPr>
  </w:style>
  <w:style w:type="paragraph" w:styleId="NoSpacing">
    <w:name w:val="No Spacing"/>
    <w:uiPriority w:val="1"/>
    <w:qFormat/>
    <w:rsid w:val="00DD22D8"/>
    <w:pPr>
      <w:spacing w:after="0" w:line="240" w:lineRule="auto"/>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846">
      <w:bodyDiv w:val="1"/>
      <w:marLeft w:val="0"/>
      <w:marRight w:val="0"/>
      <w:marTop w:val="0"/>
      <w:marBottom w:val="0"/>
      <w:divBdr>
        <w:top w:val="none" w:sz="0" w:space="0" w:color="auto"/>
        <w:left w:val="none" w:sz="0" w:space="0" w:color="auto"/>
        <w:bottom w:val="none" w:sz="0" w:space="0" w:color="auto"/>
        <w:right w:val="none" w:sz="0" w:space="0" w:color="auto"/>
      </w:divBdr>
    </w:div>
    <w:div w:id="556548139">
      <w:bodyDiv w:val="1"/>
      <w:marLeft w:val="0"/>
      <w:marRight w:val="0"/>
      <w:marTop w:val="0"/>
      <w:marBottom w:val="0"/>
      <w:divBdr>
        <w:top w:val="none" w:sz="0" w:space="0" w:color="auto"/>
        <w:left w:val="none" w:sz="0" w:space="0" w:color="auto"/>
        <w:bottom w:val="none" w:sz="0" w:space="0" w:color="auto"/>
        <w:right w:val="none" w:sz="0" w:space="0" w:color="auto"/>
      </w:divBdr>
    </w:div>
    <w:div w:id="649138766">
      <w:bodyDiv w:val="1"/>
      <w:marLeft w:val="0"/>
      <w:marRight w:val="0"/>
      <w:marTop w:val="0"/>
      <w:marBottom w:val="0"/>
      <w:divBdr>
        <w:top w:val="none" w:sz="0" w:space="0" w:color="auto"/>
        <w:left w:val="none" w:sz="0" w:space="0" w:color="auto"/>
        <w:bottom w:val="none" w:sz="0" w:space="0" w:color="auto"/>
        <w:right w:val="none" w:sz="0" w:space="0" w:color="auto"/>
      </w:divBdr>
    </w:div>
    <w:div w:id="722408726">
      <w:bodyDiv w:val="1"/>
      <w:marLeft w:val="0"/>
      <w:marRight w:val="0"/>
      <w:marTop w:val="0"/>
      <w:marBottom w:val="0"/>
      <w:divBdr>
        <w:top w:val="none" w:sz="0" w:space="0" w:color="auto"/>
        <w:left w:val="none" w:sz="0" w:space="0" w:color="auto"/>
        <w:bottom w:val="none" w:sz="0" w:space="0" w:color="auto"/>
        <w:right w:val="none" w:sz="0" w:space="0" w:color="auto"/>
      </w:divBdr>
      <w:divsChild>
        <w:div w:id="1535656999">
          <w:marLeft w:val="0"/>
          <w:marRight w:val="0"/>
          <w:marTop w:val="0"/>
          <w:marBottom w:val="0"/>
          <w:divBdr>
            <w:top w:val="none" w:sz="0" w:space="0" w:color="auto"/>
            <w:left w:val="none" w:sz="0" w:space="0" w:color="auto"/>
            <w:bottom w:val="dotted" w:sz="6" w:space="11" w:color="E0E0E0"/>
            <w:right w:val="none" w:sz="0" w:space="0" w:color="auto"/>
          </w:divBdr>
          <w:divsChild>
            <w:div w:id="142893415">
              <w:marLeft w:val="0"/>
              <w:marRight w:val="0"/>
              <w:marTop w:val="0"/>
              <w:marBottom w:val="0"/>
              <w:divBdr>
                <w:top w:val="none" w:sz="0" w:space="0" w:color="auto"/>
                <w:left w:val="none" w:sz="0" w:space="0" w:color="auto"/>
                <w:bottom w:val="none" w:sz="0" w:space="0" w:color="auto"/>
                <w:right w:val="none" w:sz="0" w:space="0" w:color="auto"/>
              </w:divBdr>
              <w:divsChild>
                <w:div w:id="2039037866">
                  <w:marLeft w:val="0"/>
                  <w:marRight w:val="0"/>
                  <w:marTop w:val="0"/>
                  <w:marBottom w:val="0"/>
                  <w:divBdr>
                    <w:top w:val="none" w:sz="0" w:space="0" w:color="auto"/>
                    <w:left w:val="none" w:sz="0" w:space="0" w:color="auto"/>
                    <w:bottom w:val="none" w:sz="0" w:space="0" w:color="auto"/>
                    <w:right w:val="none" w:sz="0" w:space="0" w:color="auto"/>
                  </w:divBdr>
                  <w:divsChild>
                    <w:div w:id="15953616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41486162">
      <w:bodyDiv w:val="1"/>
      <w:marLeft w:val="0"/>
      <w:marRight w:val="0"/>
      <w:marTop w:val="0"/>
      <w:marBottom w:val="0"/>
      <w:divBdr>
        <w:top w:val="none" w:sz="0" w:space="0" w:color="auto"/>
        <w:left w:val="none" w:sz="0" w:space="0" w:color="auto"/>
        <w:bottom w:val="none" w:sz="0" w:space="0" w:color="auto"/>
        <w:right w:val="none" w:sz="0" w:space="0" w:color="auto"/>
      </w:divBdr>
    </w:div>
    <w:div w:id="862864122">
      <w:bodyDiv w:val="1"/>
      <w:marLeft w:val="0"/>
      <w:marRight w:val="0"/>
      <w:marTop w:val="0"/>
      <w:marBottom w:val="0"/>
      <w:divBdr>
        <w:top w:val="none" w:sz="0" w:space="0" w:color="auto"/>
        <w:left w:val="none" w:sz="0" w:space="0" w:color="auto"/>
        <w:bottom w:val="none" w:sz="0" w:space="0" w:color="auto"/>
        <w:right w:val="none" w:sz="0" w:space="0" w:color="auto"/>
      </w:divBdr>
    </w:div>
    <w:div w:id="1057322710">
      <w:bodyDiv w:val="1"/>
      <w:marLeft w:val="0"/>
      <w:marRight w:val="0"/>
      <w:marTop w:val="0"/>
      <w:marBottom w:val="0"/>
      <w:divBdr>
        <w:top w:val="none" w:sz="0" w:space="0" w:color="auto"/>
        <w:left w:val="none" w:sz="0" w:space="0" w:color="auto"/>
        <w:bottom w:val="none" w:sz="0" w:space="0" w:color="auto"/>
        <w:right w:val="none" w:sz="0" w:space="0" w:color="auto"/>
      </w:divBdr>
      <w:divsChild>
        <w:div w:id="1845241313">
          <w:marLeft w:val="0"/>
          <w:marRight w:val="0"/>
          <w:marTop w:val="0"/>
          <w:marBottom w:val="0"/>
          <w:divBdr>
            <w:top w:val="none" w:sz="0" w:space="0" w:color="auto"/>
            <w:left w:val="none" w:sz="0" w:space="0" w:color="auto"/>
            <w:bottom w:val="none" w:sz="0" w:space="0" w:color="auto"/>
            <w:right w:val="none" w:sz="0" w:space="0" w:color="auto"/>
          </w:divBdr>
          <w:divsChild>
            <w:div w:id="430275822">
              <w:marLeft w:val="300"/>
              <w:marRight w:val="300"/>
              <w:marTop w:val="300"/>
              <w:marBottom w:val="300"/>
              <w:divBdr>
                <w:top w:val="none" w:sz="0" w:space="0" w:color="auto"/>
                <w:left w:val="none" w:sz="0" w:space="0" w:color="auto"/>
                <w:bottom w:val="none" w:sz="0" w:space="0" w:color="auto"/>
                <w:right w:val="none" w:sz="0" w:space="0" w:color="auto"/>
              </w:divBdr>
              <w:divsChild>
                <w:div w:id="601576441">
                  <w:marLeft w:val="0"/>
                  <w:marRight w:val="0"/>
                  <w:marTop w:val="0"/>
                  <w:marBottom w:val="0"/>
                  <w:divBdr>
                    <w:top w:val="none" w:sz="0" w:space="0" w:color="auto"/>
                    <w:left w:val="none" w:sz="0" w:space="0" w:color="auto"/>
                    <w:bottom w:val="none" w:sz="0" w:space="0" w:color="auto"/>
                    <w:right w:val="none" w:sz="0" w:space="0" w:color="auto"/>
                  </w:divBdr>
                  <w:divsChild>
                    <w:div w:id="6117445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5763121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13">
          <w:marLeft w:val="0"/>
          <w:marRight w:val="0"/>
          <w:marTop w:val="0"/>
          <w:marBottom w:val="0"/>
          <w:divBdr>
            <w:top w:val="none" w:sz="0" w:space="0" w:color="auto"/>
            <w:left w:val="none" w:sz="0" w:space="0" w:color="auto"/>
            <w:bottom w:val="dotted" w:sz="6" w:space="11" w:color="E0E0E0"/>
            <w:right w:val="none" w:sz="0" w:space="0" w:color="auto"/>
          </w:divBdr>
          <w:divsChild>
            <w:div w:id="939870276">
              <w:marLeft w:val="0"/>
              <w:marRight w:val="0"/>
              <w:marTop w:val="0"/>
              <w:marBottom w:val="0"/>
              <w:divBdr>
                <w:top w:val="none" w:sz="0" w:space="0" w:color="auto"/>
                <w:left w:val="none" w:sz="0" w:space="0" w:color="auto"/>
                <w:bottom w:val="none" w:sz="0" w:space="0" w:color="auto"/>
                <w:right w:val="none" w:sz="0" w:space="0" w:color="auto"/>
              </w:divBdr>
              <w:divsChild>
                <w:div w:id="1597790933">
                  <w:marLeft w:val="0"/>
                  <w:marRight w:val="0"/>
                  <w:marTop w:val="0"/>
                  <w:marBottom w:val="0"/>
                  <w:divBdr>
                    <w:top w:val="none" w:sz="0" w:space="0" w:color="auto"/>
                    <w:left w:val="none" w:sz="0" w:space="0" w:color="auto"/>
                    <w:bottom w:val="none" w:sz="0" w:space="0" w:color="auto"/>
                    <w:right w:val="none" w:sz="0" w:space="0" w:color="auto"/>
                  </w:divBdr>
                  <w:divsChild>
                    <w:div w:id="6878712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0219932">
      <w:bodyDiv w:val="1"/>
      <w:marLeft w:val="0"/>
      <w:marRight w:val="0"/>
      <w:marTop w:val="0"/>
      <w:marBottom w:val="0"/>
      <w:divBdr>
        <w:top w:val="none" w:sz="0" w:space="0" w:color="auto"/>
        <w:left w:val="none" w:sz="0" w:space="0" w:color="auto"/>
        <w:bottom w:val="none" w:sz="0" w:space="0" w:color="auto"/>
        <w:right w:val="none" w:sz="0" w:space="0" w:color="auto"/>
      </w:divBdr>
    </w:div>
    <w:div w:id="2012641854">
      <w:bodyDiv w:val="1"/>
      <w:marLeft w:val="0"/>
      <w:marRight w:val="0"/>
      <w:marTop w:val="0"/>
      <w:marBottom w:val="0"/>
      <w:divBdr>
        <w:top w:val="none" w:sz="0" w:space="0" w:color="auto"/>
        <w:left w:val="none" w:sz="0" w:space="0" w:color="auto"/>
        <w:bottom w:val="none" w:sz="0" w:space="0" w:color="auto"/>
        <w:right w:val="none" w:sz="0" w:space="0" w:color="auto"/>
      </w:divBdr>
      <w:divsChild>
        <w:div w:id="1702047997">
          <w:marLeft w:val="0"/>
          <w:marRight w:val="0"/>
          <w:marTop w:val="0"/>
          <w:marBottom w:val="0"/>
          <w:divBdr>
            <w:top w:val="none" w:sz="0" w:space="0" w:color="auto"/>
            <w:left w:val="none" w:sz="0" w:space="0" w:color="auto"/>
            <w:bottom w:val="none" w:sz="0" w:space="0" w:color="auto"/>
            <w:right w:val="none" w:sz="0" w:space="0" w:color="auto"/>
          </w:divBdr>
          <w:divsChild>
            <w:div w:id="356319298">
              <w:marLeft w:val="300"/>
              <w:marRight w:val="300"/>
              <w:marTop w:val="300"/>
              <w:marBottom w:val="300"/>
              <w:divBdr>
                <w:top w:val="none" w:sz="0" w:space="0" w:color="auto"/>
                <w:left w:val="none" w:sz="0" w:space="0" w:color="auto"/>
                <w:bottom w:val="none" w:sz="0" w:space="0" w:color="auto"/>
                <w:right w:val="none" w:sz="0" w:space="0" w:color="auto"/>
              </w:divBdr>
              <w:divsChild>
                <w:div w:id="21588353">
                  <w:marLeft w:val="0"/>
                  <w:marRight w:val="0"/>
                  <w:marTop w:val="0"/>
                  <w:marBottom w:val="0"/>
                  <w:divBdr>
                    <w:top w:val="none" w:sz="0" w:space="0" w:color="auto"/>
                    <w:left w:val="none" w:sz="0" w:space="0" w:color="auto"/>
                    <w:bottom w:val="none" w:sz="0" w:space="0" w:color="auto"/>
                    <w:right w:val="none" w:sz="0" w:space="0" w:color="auto"/>
                  </w:divBdr>
                  <w:divsChild>
                    <w:div w:id="598291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4451204">
      <w:bodyDiv w:val="1"/>
      <w:marLeft w:val="0"/>
      <w:marRight w:val="0"/>
      <w:marTop w:val="0"/>
      <w:marBottom w:val="0"/>
      <w:divBdr>
        <w:top w:val="none" w:sz="0" w:space="0" w:color="auto"/>
        <w:left w:val="none" w:sz="0" w:space="0" w:color="auto"/>
        <w:bottom w:val="none" w:sz="0" w:space="0" w:color="auto"/>
        <w:right w:val="none" w:sz="0" w:space="0" w:color="auto"/>
      </w:divBdr>
      <w:divsChild>
        <w:div w:id="12541985">
          <w:marLeft w:val="0"/>
          <w:marRight w:val="0"/>
          <w:marTop w:val="0"/>
          <w:marBottom w:val="0"/>
          <w:divBdr>
            <w:top w:val="none" w:sz="0" w:space="0" w:color="auto"/>
            <w:left w:val="none" w:sz="0" w:space="0" w:color="auto"/>
            <w:bottom w:val="dotted" w:sz="6" w:space="11" w:color="E0E0E0"/>
            <w:right w:val="none" w:sz="0" w:space="0" w:color="auto"/>
          </w:divBdr>
          <w:divsChild>
            <w:div w:id="19938298">
              <w:marLeft w:val="0"/>
              <w:marRight w:val="0"/>
              <w:marTop w:val="0"/>
              <w:marBottom w:val="0"/>
              <w:divBdr>
                <w:top w:val="none" w:sz="0" w:space="0" w:color="auto"/>
                <w:left w:val="none" w:sz="0" w:space="0" w:color="auto"/>
                <w:bottom w:val="none" w:sz="0" w:space="0" w:color="auto"/>
                <w:right w:val="none" w:sz="0" w:space="0" w:color="auto"/>
              </w:divBdr>
              <w:divsChild>
                <w:div w:id="1750037312">
                  <w:marLeft w:val="0"/>
                  <w:marRight w:val="0"/>
                  <w:marTop w:val="0"/>
                  <w:marBottom w:val="0"/>
                  <w:divBdr>
                    <w:top w:val="none" w:sz="0" w:space="0" w:color="auto"/>
                    <w:left w:val="none" w:sz="0" w:space="0" w:color="auto"/>
                    <w:bottom w:val="none" w:sz="0" w:space="0" w:color="auto"/>
                    <w:right w:val="none" w:sz="0" w:space="0" w:color="auto"/>
                  </w:divBdr>
                  <w:divsChild>
                    <w:div w:id="37212428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vcgr.vic.gov.au/Website/maps.nsf/65fe80f4aa4416f5ca2566890006e0fc/e5bbd0d189a0e233ca25816d0082ce50?OpenDocument" TargetMode="External"/><Relationship Id="rId18" Type="http://schemas.openxmlformats.org/officeDocument/2006/relationships/hyperlink" Target="https://www.vcgr.vic.gov.au/Website/maps.nsf/65fe80f4aa4416f5ca2566890006e0fc/dfed79b63b1346b5ca25816d0082cf7f?OpenDocument" TargetMode="External"/><Relationship Id="rId3" Type="http://schemas.openxmlformats.org/officeDocument/2006/relationships/styles" Target="styles.xml"/><Relationship Id="rId21" Type="http://schemas.openxmlformats.org/officeDocument/2006/relationships/hyperlink" Target="http://www.vcglr.vic.gov.au" TargetMode="External"/><Relationship Id="rId7" Type="http://schemas.openxmlformats.org/officeDocument/2006/relationships/endnotes" Target="endnotes.xml"/><Relationship Id="rId12" Type="http://schemas.openxmlformats.org/officeDocument/2006/relationships/hyperlink" Target="https://www.vcgr.vic.gov.au/Website/maps.nsf/65fe80f4aa4416f5ca2566890006e0fc/9b24287bb3927983ca25816d0082cead?OpenDocument" TargetMode="External"/><Relationship Id="rId17" Type="http://schemas.openxmlformats.org/officeDocument/2006/relationships/hyperlink" Target="https://www.vcgr.vic.gov.au/Website/maps.nsf/65fe80f4aa4416f5ca2566890006e0fc/e662b7a05321462cca25816d0082ce5e?OpenDocument" TargetMode="External"/><Relationship Id="rId2" Type="http://schemas.openxmlformats.org/officeDocument/2006/relationships/numbering" Target="numbering.xml"/><Relationship Id="rId16" Type="http://schemas.openxmlformats.org/officeDocument/2006/relationships/hyperlink" Target="https://www.vcgr.vic.gov.au/Website/maps.nsf/65fe80f4aa4416f5ca2566890006e0fc/73c7225c4bda7c79ca25816d0082cfd4?OpenDocument" TargetMode="External"/><Relationship Id="rId20" Type="http://schemas.openxmlformats.org/officeDocument/2006/relationships/hyperlink" Target="http://www.vcglr.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gr.vic.gov.au/Website/maps.nsf/65fe80f4aa4416f5ca2566890006e0fc/0d6c873c432149f3ca25816d0082cf73?OpenDocu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cgr.vic.gov.au/Website/maps.nsf/65fe80f4aa4416f5ca2566890006e0fc/1b359b92bbfa1abcca25816d0082cf76?OpenDocument" TargetMode="External"/><Relationship Id="rId23" Type="http://schemas.openxmlformats.org/officeDocument/2006/relationships/fontTable" Target="fontTable.xml"/><Relationship Id="rId10" Type="http://schemas.openxmlformats.org/officeDocument/2006/relationships/hyperlink" Target="https://www.vcgr.vic.gov.au/Website/maps.nsf/65fe80f4aa4416f5ca2566890006e0fc/a2b99e332304eba6ca25816d0082ce26?OpenDocument"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vcgr.vic.gov.au/Website/maps.nsf/65fe80f4aa4416f5ca2566890006e0fc/3bdb45b4da3538aeca25816d0082ce23?OpenDocument" TargetMode="External"/><Relationship Id="rId14" Type="http://schemas.openxmlformats.org/officeDocument/2006/relationships/hyperlink" Target="https://www.vcgr.vic.gov.au/Website/maps.nsf/65fe80f4aa4416f5ca2566890006e0fc/e410692bb1c04f8dca25816d0082cedc?OpenDocumen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cgl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E7EE-99A4-4096-AF4B-DE24CB98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7412</Words>
  <Characters>42253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Banyule Community Health</Company>
  <LinksUpToDate>false</LinksUpToDate>
  <CharactersWithSpaces>49566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Rennie</dc:creator>
  <cp:lastModifiedBy>Shawn Neilsen</cp:lastModifiedBy>
  <cp:revision>2</cp:revision>
  <cp:lastPrinted>2018-02-01T05:40:00Z</cp:lastPrinted>
  <dcterms:created xsi:type="dcterms:W3CDTF">2018-04-30T00:40:00Z</dcterms:created>
  <dcterms:modified xsi:type="dcterms:W3CDTF">2018-04-30T00:40:00Z</dcterms:modified>
</cp:coreProperties>
</file>