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A9" w:rsidRPr="00785053" w:rsidRDefault="00E401A9" w:rsidP="00E401A9">
      <w:pPr>
        <w:pStyle w:val="ActTitle"/>
        <w:rPr>
          <w:rFonts w:cs="Arial"/>
          <w:sz w:val="20"/>
        </w:rPr>
      </w:pPr>
      <w:r w:rsidRPr="00785053">
        <w:rPr>
          <w:rFonts w:cs="Arial"/>
          <w:sz w:val="20"/>
        </w:rPr>
        <w:t>Planning and Environment Act 1987</w:t>
      </w:r>
      <w:bookmarkStart w:id="0" w:name="_GoBack"/>
      <w:bookmarkEnd w:id="0"/>
    </w:p>
    <w:p w:rsidR="00E401A9" w:rsidRPr="006D63C2" w:rsidRDefault="00542809" w:rsidP="00E401A9">
      <w:pPr>
        <w:pStyle w:val="Heading1"/>
        <w:rPr>
          <w:rFonts w:cs="Arial"/>
          <w:sz w:val="28"/>
          <w:szCs w:val="28"/>
        </w:rPr>
      </w:pPr>
      <w:r>
        <w:rPr>
          <w:rFonts w:cs="Arial"/>
          <w:sz w:val="28"/>
          <w:szCs w:val="28"/>
        </w:rPr>
        <w:t xml:space="preserve">bANYULE </w:t>
      </w:r>
      <w:r w:rsidR="00E401A9" w:rsidRPr="006D63C2">
        <w:rPr>
          <w:rFonts w:cs="Arial"/>
          <w:sz w:val="28"/>
          <w:szCs w:val="28"/>
        </w:rPr>
        <w:t>PLANNING SCHEME</w:t>
      </w:r>
    </w:p>
    <w:p w:rsidR="00E401A9" w:rsidRPr="006D63C2" w:rsidRDefault="00E401A9" w:rsidP="00E401A9">
      <w:pPr>
        <w:pStyle w:val="Heading1"/>
        <w:rPr>
          <w:rFonts w:cs="Arial"/>
          <w:bCs w:val="0"/>
          <w:caps w:val="0"/>
          <w:color w:val="A6A6A6"/>
          <w:sz w:val="28"/>
          <w:szCs w:val="28"/>
          <w:lang w:val="en-GB"/>
        </w:rPr>
      </w:pPr>
      <w:r w:rsidRPr="006D63C2">
        <w:rPr>
          <w:rFonts w:cs="Arial"/>
          <w:sz w:val="28"/>
          <w:szCs w:val="28"/>
        </w:rPr>
        <w:t xml:space="preserve">AMENDMENT </w:t>
      </w:r>
      <w:r w:rsidR="006247EE">
        <w:rPr>
          <w:rFonts w:cs="Arial"/>
          <w:sz w:val="28"/>
          <w:szCs w:val="28"/>
        </w:rPr>
        <w:t>C152</w:t>
      </w:r>
      <w:r w:rsidR="00581829">
        <w:rPr>
          <w:rFonts w:cs="Arial"/>
          <w:sz w:val="28"/>
          <w:szCs w:val="28"/>
        </w:rPr>
        <w:t>BANY</w:t>
      </w:r>
    </w:p>
    <w:p w:rsidR="00E401A9" w:rsidRPr="006D63C2" w:rsidRDefault="00E401A9" w:rsidP="00E401A9">
      <w:pPr>
        <w:pStyle w:val="Heading1"/>
        <w:rPr>
          <w:rFonts w:cs="Arial"/>
          <w:szCs w:val="24"/>
        </w:rPr>
      </w:pPr>
      <w:r w:rsidRPr="006D63C2">
        <w:rPr>
          <w:rFonts w:cs="Arial"/>
          <w:szCs w:val="24"/>
        </w:rPr>
        <w:t>EXPLANATORY REPORT</w:t>
      </w:r>
    </w:p>
    <w:p w:rsidR="00E401A9" w:rsidRPr="007E0E39" w:rsidRDefault="00E401A9" w:rsidP="00F84C8A">
      <w:pPr>
        <w:pStyle w:val="Heading2"/>
        <w:spacing w:before="240" w:after="240"/>
        <w:jc w:val="left"/>
        <w:rPr>
          <w:rFonts w:cs="Arial"/>
          <w:sz w:val="22"/>
          <w:szCs w:val="22"/>
        </w:rPr>
      </w:pPr>
      <w:r w:rsidRPr="007E0E39">
        <w:rPr>
          <w:rFonts w:cs="Arial"/>
          <w:sz w:val="22"/>
          <w:szCs w:val="22"/>
        </w:rPr>
        <w:t>Who is the planning authority?</w:t>
      </w:r>
    </w:p>
    <w:p w:rsidR="00E401A9" w:rsidRPr="007E0E39" w:rsidRDefault="00E401A9" w:rsidP="003E2341">
      <w:pPr>
        <w:rPr>
          <w:rFonts w:ascii="Arial" w:hAnsi="Arial" w:cs="Arial"/>
          <w:sz w:val="22"/>
          <w:szCs w:val="22"/>
        </w:rPr>
      </w:pPr>
      <w:r w:rsidRPr="007E0E39">
        <w:rPr>
          <w:rFonts w:ascii="Arial" w:hAnsi="Arial" w:cs="Arial"/>
          <w:sz w:val="22"/>
          <w:szCs w:val="22"/>
        </w:rPr>
        <w:t>This amendment has been prepared by</w:t>
      </w:r>
      <w:r w:rsidR="006247EE">
        <w:rPr>
          <w:rFonts w:ascii="Arial" w:hAnsi="Arial" w:cs="Arial"/>
          <w:sz w:val="22"/>
          <w:szCs w:val="22"/>
        </w:rPr>
        <w:t xml:space="preserve"> Banyule City Council</w:t>
      </w:r>
      <w:r w:rsidR="00542809" w:rsidRPr="007E0E39">
        <w:rPr>
          <w:rFonts w:ascii="Arial" w:hAnsi="Arial" w:cs="Arial"/>
          <w:sz w:val="22"/>
          <w:szCs w:val="22"/>
        </w:rPr>
        <w:t xml:space="preserve">, </w:t>
      </w:r>
      <w:r w:rsidR="00DE5641">
        <w:rPr>
          <w:rFonts w:ascii="Arial" w:hAnsi="Arial" w:cs="Arial"/>
          <w:sz w:val="22"/>
          <w:szCs w:val="22"/>
        </w:rPr>
        <w:t>which</w:t>
      </w:r>
      <w:r w:rsidRPr="007E0E39">
        <w:rPr>
          <w:rFonts w:ascii="Arial" w:hAnsi="Arial" w:cs="Arial"/>
          <w:sz w:val="22"/>
          <w:szCs w:val="22"/>
        </w:rPr>
        <w:t xml:space="preserve"> is the planning authority for this amendment.</w:t>
      </w:r>
    </w:p>
    <w:p w:rsidR="00E401A9" w:rsidRPr="007E0E39" w:rsidRDefault="00E401A9" w:rsidP="003E2341">
      <w:pPr>
        <w:rPr>
          <w:rFonts w:ascii="Arial" w:hAnsi="Arial" w:cs="Arial"/>
          <w:sz w:val="22"/>
          <w:szCs w:val="22"/>
        </w:rPr>
      </w:pPr>
      <w:r w:rsidRPr="007E0E39">
        <w:rPr>
          <w:rFonts w:ascii="Arial" w:hAnsi="Arial" w:cs="Arial"/>
          <w:sz w:val="22"/>
          <w:szCs w:val="22"/>
        </w:rPr>
        <w:t xml:space="preserve">The Amendment has been made at the request of </w:t>
      </w:r>
      <w:r w:rsidR="00542809" w:rsidRPr="007E0E39">
        <w:rPr>
          <w:rFonts w:ascii="Arial" w:hAnsi="Arial" w:cs="Arial"/>
          <w:sz w:val="22"/>
          <w:szCs w:val="22"/>
        </w:rPr>
        <w:t>Banyule City Council</w:t>
      </w:r>
      <w:r w:rsidRPr="007E0E39">
        <w:rPr>
          <w:rFonts w:ascii="Arial" w:hAnsi="Arial" w:cs="Arial"/>
          <w:sz w:val="22"/>
          <w:szCs w:val="22"/>
          <w:lang w:val="en-GB"/>
        </w:rPr>
        <w:t>.</w:t>
      </w:r>
    </w:p>
    <w:p w:rsidR="00E401A9" w:rsidRPr="007E0E39" w:rsidRDefault="00E401A9" w:rsidP="003E2341">
      <w:pPr>
        <w:pStyle w:val="Heading2"/>
        <w:spacing w:before="240" w:after="240"/>
        <w:rPr>
          <w:rFonts w:cs="Arial"/>
          <w:sz w:val="22"/>
          <w:szCs w:val="22"/>
        </w:rPr>
      </w:pPr>
      <w:r w:rsidRPr="007E0E39">
        <w:rPr>
          <w:rFonts w:cs="Arial"/>
          <w:sz w:val="22"/>
          <w:szCs w:val="22"/>
        </w:rPr>
        <w:t>Land affected by the Amendment</w:t>
      </w:r>
    </w:p>
    <w:p w:rsidR="00E401A9" w:rsidRPr="007E0E39" w:rsidRDefault="00E401A9" w:rsidP="003E2341">
      <w:pPr>
        <w:rPr>
          <w:rFonts w:ascii="Arial" w:hAnsi="Arial" w:cs="Arial"/>
          <w:color w:val="A6A6A6"/>
          <w:sz w:val="22"/>
          <w:szCs w:val="22"/>
          <w:lang w:val="en-GB"/>
        </w:rPr>
      </w:pPr>
      <w:r w:rsidRPr="007E0E39">
        <w:rPr>
          <w:rFonts w:ascii="Arial" w:hAnsi="Arial" w:cs="Arial"/>
          <w:sz w:val="22"/>
          <w:szCs w:val="22"/>
        </w:rPr>
        <w:t>The Amendment applies to</w:t>
      </w:r>
      <w:r w:rsidR="00542809" w:rsidRPr="007E0E39">
        <w:rPr>
          <w:rFonts w:ascii="Arial" w:hAnsi="Arial" w:cs="Arial"/>
          <w:sz w:val="22"/>
          <w:szCs w:val="22"/>
        </w:rPr>
        <w:t xml:space="preserve"> 22 Arden Crescent, Rosanna</w:t>
      </w:r>
      <w:r w:rsidR="00E23FA5">
        <w:rPr>
          <w:rFonts w:ascii="Arial" w:hAnsi="Arial" w:cs="Arial"/>
          <w:sz w:val="22"/>
          <w:szCs w:val="22"/>
        </w:rPr>
        <w:t>.</w:t>
      </w:r>
    </w:p>
    <w:p w:rsidR="00E401A9" w:rsidRPr="007E0E39" w:rsidRDefault="00E401A9" w:rsidP="003E2341">
      <w:pPr>
        <w:pStyle w:val="Heading2"/>
        <w:spacing w:before="240" w:after="240"/>
        <w:rPr>
          <w:rFonts w:cs="Arial"/>
          <w:sz w:val="22"/>
          <w:szCs w:val="22"/>
        </w:rPr>
      </w:pPr>
      <w:r w:rsidRPr="007E0E39">
        <w:rPr>
          <w:rFonts w:cs="Arial"/>
          <w:sz w:val="22"/>
          <w:szCs w:val="22"/>
        </w:rPr>
        <w:t>What the amendment does</w:t>
      </w:r>
    </w:p>
    <w:p w:rsidR="0090146C" w:rsidRDefault="00E401A9" w:rsidP="003E2341">
      <w:pPr>
        <w:rPr>
          <w:rFonts w:ascii="Arial" w:hAnsi="Arial" w:cs="Arial"/>
          <w:sz w:val="22"/>
          <w:szCs w:val="22"/>
        </w:rPr>
      </w:pPr>
      <w:r w:rsidRPr="007E0E39">
        <w:rPr>
          <w:rFonts w:ascii="Arial" w:hAnsi="Arial" w:cs="Arial"/>
          <w:sz w:val="22"/>
          <w:szCs w:val="22"/>
        </w:rPr>
        <w:t xml:space="preserve">The Amendment </w:t>
      </w:r>
      <w:r w:rsidR="006247EE">
        <w:rPr>
          <w:rFonts w:ascii="Arial" w:hAnsi="Arial" w:cs="Arial"/>
          <w:sz w:val="22"/>
          <w:szCs w:val="22"/>
        </w:rPr>
        <w:t>applies a</w:t>
      </w:r>
      <w:r w:rsidR="00542809" w:rsidRPr="007E0E39">
        <w:rPr>
          <w:rFonts w:ascii="Arial" w:hAnsi="Arial" w:cs="Arial"/>
          <w:sz w:val="22"/>
          <w:szCs w:val="22"/>
        </w:rPr>
        <w:t xml:space="preserve"> Heritage Overlay HO198 to 22 Arden Crescent, Rosanna</w:t>
      </w:r>
      <w:r w:rsidR="0090146C">
        <w:rPr>
          <w:rFonts w:ascii="Arial" w:hAnsi="Arial" w:cs="Arial"/>
          <w:sz w:val="22"/>
          <w:szCs w:val="22"/>
        </w:rPr>
        <w:t xml:space="preserve"> on a permanent basis.</w:t>
      </w:r>
    </w:p>
    <w:p w:rsidR="00542809" w:rsidRPr="007E0E39" w:rsidRDefault="00542809" w:rsidP="003E2341">
      <w:pPr>
        <w:rPr>
          <w:rFonts w:ascii="Arial" w:hAnsi="Arial" w:cs="Arial"/>
          <w:sz w:val="22"/>
          <w:szCs w:val="22"/>
        </w:rPr>
      </w:pPr>
      <w:r w:rsidRPr="007E0E39">
        <w:rPr>
          <w:rFonts w:ascii="Arial" w:hAnsi="Arial" w:cs="Arial"/>
          <w:sz w:val="22"/>
          <w:szCs w:val="22"/>
        </w:rPr>
        <w:t>Specifically the amendment seeks to:</w:t>
      </w:r>
    </w:p>
    <w:p w:rsidR="00542809" w:rsidRPr="007E0E39" w:rsidRDefault="00542809" w:rsidP="003E2341">
      <w:pPr>
        <w:numPr>
          <w:ilvl w:val="0"/>
          <w:numId w:val="63"/>
        </w:numPr>
        <w:ind w:left="284" w:hanging="284"/>
        <w:rPr>
          <w:rFonts w:ascii="Arial" w:hAnsi="Arial" w:cs="Arial"/>
          <w:sz w:val="22"/>
          <w:szCs w:val="22"/>
        </w:rPr>
      </w:pPr>
      <w:r w:rsidRPr="007E0E39">
        <w:rPr>
          <w:rFonts w:ascii="Arial" w:hAnsi="Arial" w:cs="Arial"/>
          <w:sz w:val="22"/>
          <w:szCs w:val="22"/>
        </w:rPr>
        <w:t xml:space="preserve">Amend Map No. 10HO and 11HO to apply </w:t>
      </w:r>
      <w:r w:rsidR="006247EE">
        <w:rPr>
          <w:rFonts w:ascii="Arial" w:hAnsi="Arial" w:cs="Arial"/>
          <w:sz w:val="22"/>
          <w:szCs w:val="22"/>
        </w:rPr>
        <w:t xml:space="preserve">a </w:t>
      </w:r>
      <w:r w:rsidR="006433AC" w:rsidRPr="007E0E39">
        <w:rPr>
          <w:rFonts w:ascii="Arial" w:hAnsi="Arial" w:cs="Arial"/>
          <w:sz w:val="22"/>
          <w:szCs w:val="22"/>
        </w:rPr>
        <w:t>Heritage Overlay HO198 to 22 Arden Crescent, Rosanna.</w:t>
      </w:r>
    </w:p>
    <w:p w:rsidR="006433AC" w:rsidRDefault="00DE5641" w:rsidP="003E2341">
      <w:pPr>
        <w:numPr>
          <w:ilvl w:val="0"/>
          <w:numId w:val="63"/>
        </w:numPr>
        <w:ind w:left="284" w:hanging="284"/>
        <w:rPr>
          <w:rFonts w:ascii="Arial" w:hAnsi="Arial" w:cs="Arial"/>
          <w:sz w:val="22"/>
          <w:szCs w:val="22"/>
        </w:rPr>
      </w:pPr>
      <w:r>
        <w:rPr>
          <w:rFonts w:ascii="Arial" w:hAnsi="Arial" w:cs="Arial"/>
          <w:sz w:val="22"/>
          <w:szCs w:val="22"/>
        </w:rPr>
        <w:t>Amend</w:t>
      </w:r>
      <w:r w:rsidR="006433AC" w:rsidRPr="007E0E39">
        <w:rPr>
          <w:rFonts w:ascii="Arial" w:hAnsi="Arial" w:cs="Arial"/>
          <w:sz w:val="22"/>
          <w:szCs w:val="22"/>
        </w:rPr>
        <w:t xml:space="preserve"> the </w:t>
      </w:r>
      <w:r>
        <w:rPr>
          <w:rFonts w:ascii="Arial" w:hAnsi="Arial" w:cs="Arial"/>
          <w:sz w:val="22"/>
          <w:szCs w:val="22"/>
        </w:rPr>
        <w:t>Schedule to Clause 43.01 (Heritage Overlay)</w:t>
      </w:r>
      <w:r w:rsidR="006433AC" w:rsidRPr="007E0E39">
        <w:rPr>
          <w:rFonts w:ascii="Arial" w:hAnsi="Arial" w:cs="Arial"/>
          <w:sz w:val="22"/>
          <w:szCs w:val="22"/>
        </w:rPr>
        <w:t xml:space="preserve"> to include HO198</w:t>
      </w:r>
      <w:r w:rsidR="00DC3509" w:rsidRPr="003E2341">
        <w:rPr>
          <w:rFonts w:ascii="Arial" w:hAnsi="Arial" w:cs="Arial"/>
          <w:sz w:val="22"/>
          <w:szCs w:val="22"/>
        </w:rPr>
        <w:t>.</w:t>
      </w:r>
    </w:p>
    <w:p w:rsidR="0067150F" w:rsidRPr="0067150F" w:rsidRDefault="00DE5641" w:rsidP="0067150F">
      <w:pPr>
        <w:numPr>
          <w:ilvl w:val="0"/>
          <w:numId w:val="63"/>
        </w:numPr>
        <w:ind w:left="284" w:hanging="284"/>
        <w:rPr>
          <w:rFonts w:ascii="Arial" w:hAnsi="Arial" w:cs="Arial"/>
          <w:sz w:val="22"/>
          <w:szCs w:val="22"/>
        </w:rPr>
      </w:pPr>
      <w:r>
        <w:rPr>
          <w:rFonts w:ascii="Arial" w:hAnsi="Arial" w:cs="Arial"/>
          <w:sz w:val="22"/>
          <w:szCs w:val="22"/>
        </w:rPr>
        <w:t xml:space="preserve">Amend the Schedule to Clause 72.04 (Documents Incorporated </w:t>
      </w:r>
      <w:r w:rsidR="007A4141">
        <w:rPr>
          <w:rFonts w:ascii="Arial" w:hAnsi="Arial" w:cs="Arial"/>
          <w:sz w:val="22"/>
          <w:szCs w:val="22"/>
        </w:rPr>
        <w:t xml:space="preserve">in this Planning Scheme) to include </w:t>
      </w:r>
      <w:r w:rsidR="0067150F" w:rsidRPr="007A4141">
        <w:rPr>
          <w:rFonts w:ascii="Arial" w:hAnsi="Arial" w:cs="Arial"/>
          <w:i/>
          <w:sz w:val="22"/>
          <w:szCs w:val="22"/>
        </w:rPr>
        <w:t>22 Arden Crescent, Rosanna</w:t>
      </w:r>
      <w:r w:rsidR="007A4141" w:rsidRPr="007A4141">
        <w:rPr>
          <w:rFonts w:ascii="Arial" w:hAnsi="Arial" w:cs="Arial"/>
          <w:i/>
          <w:sz w:val="22"/>
          <w:szCs w:val="22"/>
        </w:rPr>
        <w:t xml:space="preserve"> Statement of Significance</w:t>
      </w:r>
      <w:r w:rsidR="007A4141">
        <w:rPr>
          <w:rFonts w:ascii="Arial" w:hAnsi="Arial" w:cs="Arial"/>
          <w:sz w:val="22"/>
          <w:szCs w:val="22"/>
        </w:rPr>
        <w:t xml:space="preserve">. </w:t>
      </w:r>
      <w:r w:rsidR="0067150F" w:rsidRPr="00F1012C">
        <w:rPr>
          <w:rFonts w:ascii="Arial" w:hAnsi="Arial" w:cs="Arial"/>
          <w:sz w:val="22"/>
          <w:szCs w:val="22"/>
        </w:rPr>
        <w:t xml:space="preserve"> </w:t>
      </w:r>
    </w:p>
    <w:p w:rsidR="00E401A9" w:rsidRPr="007E0E39" w:rsidRDefault="00E401A9" w:rsidP="00F84C8A">
      <w:pPr>
        <w:pStyle w:val="Heading2"/>
        <w:spacing w:before="240" w:after="240"/>
        <w:jc w:val="left"/>
        <w:rPr>
          <w:rFonts w:cs="Arial"/>
          <w:sz w:val="22"/>
          <w:szCs w:val="22"/>
        </w:rPr>
      </w:pPr>
      <w:r w:rsidRPr="007E0E39">
        <w:rPr>
          <w:rFonts w:cs="Arial"/>
          <w:sz w:val="22"/>
          <w:szCs w:val="22"/>
        </w:rPr>
        <w:t xml:space="preserve">Strategic assessment of the Amendment </w:t>
      </w:r>
    </w:p>
    <w:p w:rsidR="00E401A9" w:rsidRPr="007E0E39" w:rsidRDefault="00E401A9" w:rsidP="00F84C8A">
      <w:pPr>
        <w:pStyle w:val="Heading2"/>
        <w:spacing w:before="240" w:after="240"/>
        <w:jc w:val="left"/>
        <w:rPr>
          <w:rFonts w:cs="Arial"/>
          <w:sz w:val="22"/>
          <w:szCs w:val="22"/>
        </w:rPr>
      </w:pPr>
      <w:r w:rsidRPr="007E0E39">
        <w:rPr>
          <w:rFonts w:cs="Arial"/>
          <w:sz w:val="22"/>
          <w:szCs w:val="22"/>
        </w:rPr>
        <w:t>Why is the Amendment required?</w:t>
      </w:r>
    </w:p>
    <w:p w:rsidR="0077738C" w:rsidRPr="007E0E39" w:rsidRDefault="0077738C" w:rsidP="003E2341">
      <w:pPr>
        <w:pStyle w:val="Bullet1"/>
        <w:numPr>
          <w:ilvl w:val="0"/>
          <w:numId w:val="0"/>
        </w:numPr>
        <w:jc w:val="both"/>
        <w:rPr>
          <w:color w:val="auto"/>
          <w:sz w:val="22"/>
          <w:szCs w:val="22"/>
        </w:rPr>
      </w:pPr>
      <w:r w:rsidRPr="007E0E39">
        <w:rPr>
          <w:color w:val="auto"/>
          <w:sz w:val="22"/>
          <w:szCs w:val="22"/>
        </w:rPr>
        <w:t>The amendment is required to apply heritage protection to 22 Arden Crescent, Rosanna.</w:t>
      </w:r>
      <w:r w:rsidR="003D246A">
        <w:rPr>
          <w:color w:val="auto"/>
          <w:sz w:val="22"/>
          <w:szCs w:val="22"/>
        </w:rPr>
        <w:t xml:space="preserve"> </w:t>
      </w:r>
    </w:p>
    <w:p w:rsidR="009D76A6" w:rsidRPr="007E0E39" w:rsidRDefault="009D76A6" w:rsidP="003E2341">
      <w:pPr>
        <w:pStyle w:val="Bullet1"/>
        <w:numPr>
          <w:ilvl w:val="0"/>
          <w:numId w:val="0"/>
        </w:numPr>
        <w:jc w:val="both"/>
        <w:rPr>
          <w:color w:val="auto"/>
          <w:sz w:val="22"/>
          <w:szCs w:val="22"/>
        </w:rPr>
      </w:pPr>
      <w:r w:rsidRPr="007E0E39">
        <w:rPr>
          <w:color w:val="auto"/>
          <w:sz w:val="22"/>
          <w:szCs w:val="22"/>
        </w:rPr>
        <w:t xml:space="preserve">Banyule City Council received an application under Section 29A of the Building Act 1993 for full demolition of the dwelling at 22 Arden Crescent, Rosanna on 6 September 2018. </w:t>
      </w:r>
    </w:p>
    <w:p w:rsidR="00E71F3F" w:rsidRDefault="00E50239" w:rsidP="003E2341">
      <w:pPr>
        <w:pStyle w:val="Bullet1"/>
        <w:numPr>
          <w:ilvl w:val="0"/>
          <w:numId w:val="0"/>
        </w:numPr>
        <w:jc w:val="both"/>
        <w:rPr>
          <w:color w:val="auto"/>
          <w:sz w:val="22"/>
          <w:szCs w:val="22"/>
        </w:rPr>
      </w:pPr>
      <w:r>
        <w:rPr>
          <w:color w:val="auto"/>
          <w:sz w:val="22"/>
          <w:szCs w:val="22"/>
        </w:rPr>
        <w:t xml:space="preserve">The </w:t>
      </w:r>
      <w:r w:rsidR="005712B5">
        <w:rPr>
          <w:color w:val="auto"/>
          <w:sz w:val="22"/>
          <w:szCs w:val="22"/>
        </w:rPr>
        <w:t xml:space="preserve">heritage assessment </w:t>
      </w:r>
      <w:r w:rsidR="007C17C9">
        <w:rPr>
          <w:color w:val="auto"/>
          <w:sz w:val="22"/>
          <w:szCs w:val="22"/>
        </w:rPr>
        <w:t xml:space="preserve">of the </w:t>
      </w:r>
      <w:r w:rsidR="003A51DB">
        <w:rPr>
          <w:color w:val="auto"/>
          <w:sz w:val="22"/>
          <w:szCs w:val="22"/>
        </w:rPr>
        <w:t xml:space="preserve">house at 22 Arden Crescent </w:t>
      </w:r>
      <w:r w:rsidR="00CB2BAD" w:rsidRPr="003A51DB">
        <w:rPr>
          <w:color w:val="auto"/>
          <w:sz w:val="22"/>
          <w:szCs w:val="22"/>
        </w:rPr>
        <w:t xml:space="preserve">known historically as ‘Arden Chase’ </w:t>
      </w:r>
      <w:r w:rsidR="006104A9">
        <w:rPr>
          <w:color w:val="auto"/>
          <w:sz w:val="22"/>
          <w:szCs w:val="22"/>
        </w:rPr>
        <w:t xml:space="preserve">identifies </w:t>
      </w:r>
      <w:r>
        <w:rPr>
          <w:color w:val="auto"/>
          <w:sz w:val="22"/>
          <w:szCs w:val="22"/>
        </w:rPr>
        <w:t>the dwelling as</w:t>
      </w:r>
      <w:r w:rsidR="003A51DB" w:rsidRPr="003A51DB">
        <w:rPr>
          <w:color w:val="auto"/>
          <w:sz w:val="22"/>
          <w:szCs w:val="22"/>
        </w:rPr>
        <w:t xml:space="preserve"> a weatherboard Edwardian-era farmhouse built c1905.</w:t>
      </w:r>
      <w:r w:rsidR="00CB2BAD" w:rsidRPr="003A51DB">
        <w:rPr>
          <w:color w:val="auto"/>
          <w:sz w:val="22"/>
          <w:szCs w:val="22"/>
        </w:rPr>
        <w:t xml:space="preserve"> </w:t>
      </w:r>
      <w:r>
        <w:rPr>
          <w:color w:val="auto"/>
          <w:sz w:val="22"/>
          <w:szCs w:val="22"/>
        </w:rPr>
        <w:t>The assessment</w:t>
      </w:r>
      <w:r w:rsidRPr="00C9277D">
        <w:rPr>
          <w:color w:val="auto"/>
          <w:sz w:val="22"/>
          <w:szCs w:val="22"/>
        </w:rPr>
        <w:t xml:space="preserve"> found that the subject house </w:t>
      </w:r>
      <w:r w:rsidR="00E71F3F">
        <w:rPr>
          <w:color w:val="auto"/>
          <w:sz w:val="22"/>
          <w:szCs w:val="22"/>
        </w:rPr>
        <w:t xml:space="preserve">is </w:t>
      </w:r>
      <w:r>
        <w:rPr>
          <w:color w:val="auto"/>
          <w:sz w:val="22"/>
          <w:szCs w:val="22"/>
        </w:rPr>
        <w:t xml:space="preserve">substantially intact, has been carefully maintained as part of subdivision of the original land and has a strong community connection. </w:t>
      </w:r>
    </w:p>
    <w:p w:rsidR="00E71F3F" w:rsidRPr="00E71F3F" w:rsidRDefault="00E71F3F" w:rsidP="003E2341">
      <w:pPr>
        <w:pStyle w:val="Bullet1"/>
        <w:numPr>
          <w:ilvl w:val="0"/>
          <w:numId w:val="0"/>
        </w:numPr>
        <w:jc w:val="both"/>
        <w:rPr>
          <w:color w:val="auto"/>
          <w:sz w:val="22"/>
          <w:szCs w:val="22"/>
          <w:lang w:val="en-US"/>
        </w:rPr>
      </w:pPr>
      <w:r>
        <w:rPr>
          <w:sz w:val="22"/>
          <w:szCs w:val="24"/>
          <w:lang w:val="x-none"/>
        </w:rPr>
        <w:t>Significant elements include the form and materiality of the house and its tower, remaining original fabric, the visual prominence of the tower, the generous garden setting, and the relationship of the house to Arden Crescent which corresponds to the alignment of the original entry to the property</w:t>
      </w:r>
      <w:r>
        <w:rPr>
          <w:sz w:val="22"/>
          <w:szCs w:val="24"/>
          <w:lang w:val="en-US"/>
        </w:rPr>
        <w:t>.</w:t>
      </w:r>
    </w:p>
    <w:p w:rsidR="005712B5" w:rsidRPr="00E71F3F" w:rsidRDefault="00CB2BAD" w:rsidP="003E2341">
      <w:pPr>
        <w:pStyle w:val="Bullet1"/>
        <w:numPr>
          <w:ilvl w:val="0"/>
          <w:numId w:val="0"/>
        </w:numPr>
        <w:jc w:val="both"/>
        <w:rPr>
          <w:sz w:val="22"/>
          <w:szCs w:val="22"/>
          <w:lang w:val="x-none"/>
        </w:rPr>
      </w:pPr>
      <w:r w:rsidRPr="003A51DB">
        <w:rPr>
          <w:color w:val="auto"/>
          <w:sz w:val="22"/>
          <w:szCs w:val="22"/>
        </w:rPr>
        <w:t>The</w:t>
      </w:r>
      <w:r w:rsidRPr="007E0E39">
        <w:rPr>
          <w:color w:val="auto"/>
          <w:sz w:val="22"/>
          <w:szCs w:val="22"/>
        </w:rPr>
        <w:t xml:space="preserve"> heritage assessment found that the house </w:t>
      </w:r>
      <w:r w:rsidRPr="00B71BA0">
        <w:rPr>
          <w:color w:val="auto"/>
          <w:sz w:val="22"/>
          <w:szCs w:val="22"/>
        </w:rPr>
        <w:t>is of local historic significance</w:t>
      </w:r>
      <w:r w:rsidR="00E71F3F">
        <w:rPr>
          <w:color w:val="auto"/>
          <w:sz w:val="22"/>
          <w:szCs w:val="22"/>
        </w:rPr>
        <w:t xml:space="preserve"> to Banyule and recommends </w:t>
      </w:r>
      <w:r w:rsidR="00E71F3F">
        <w:rPr>
          <w:sz w:val="22"/>
          <w:szCs w:val="22"/>
          <w:lang w:val="en-US"/>
        </w:rPr>
        <w:t xml:space="preserve">its </w:t>
      </w:r>
      <w:r w:rsidR="00E71F3F" w:rsidRPr="00E71F3F">
        <w:rPr>
          <w:sz w:val="22"/>
          <w:szCs w:val="22"/>
          <w:lang w:val="x-none"/>
        </w:rPr>
        <w:t>inclusion in the Schedule to the Heritage Overlay of the Banyule Plan</w:t>
      </w:r>
      <w:r w:rsidR="00E71F3F">
        <w:rPr>
          <w:sz w:val="22"/>
          <w:szCs w:val="22"/>
          <w:lang w:val="x-none"/>
        </w:rPr>
        <w:t>ning Scheme as an individually s</w:t>
      </w:r>
      <w:r w:rsidR="00E71F3F" w:rsidRPr="00E71F3F">
        <w:rPr>
          <w:sz w:val="22"/>
          <w:szCs w:val="22"/>
          <w:lang w:val="x-none"/>
        </w:rPr>
        <w:t>ignificant place.</w:t>
      </w:r>
    </w:p>
    <w:p w:rsidR="00955A17" w:rsidRPr="007C17C9" w:rsidRDefault="00955A17" w:rsidP="003E2341">
      <w:pPr>
        <w:pStyle w:val="Bullet1"/>
        <w:numPr>
          <w:ilvl w:val="0"/>
          <w:numId w:val="0"/>
        </w:numPr>
        <w:jc w:val="both"/>
        <w:rPr>
          <w:color w:val="auto"/>
          <w:sz w:val="22"/>
          <w:szCs w:val="22"/>
        </w:rPr>
      </w:pPr>
      <w:r w:rsidRPr="007C17C9">
        <w:rPr>
          <w:color w:val="auto"/>
          <w:sz w:val="22"/>
          <w:szCs w:val="22"/>
        </w:rPr>
        <w:t xml:space="preserve">Council has prepared </w:t>
      </w:r>
      <w:r w:rsidR="006247EE">
        <w:rPr>
          <w:color w:val="auto"/>
          <w:sz w:val="22"/>
          <w:szCs w:val="22"/>
        </w:rPr>
        <w:t xml:space="preserve">this amendment </w:t>
      </w:r>
      <w:r w:rsidRPr="007C17C9">
        <w:rPr>
          <w:color w:val="auto"/>
          <w:sz w:val="22"/>
          <w:szCs w:val="22"/>
        </w:rPr>
        <w:t>to apply a permanent Heritage Overlay</w:t>
      </w:r>
      <w:r w:rsidR="006247EE">
        <w:rPr>
          <w:color w:val="auto"/>
          <w:sz w:val="22"/>
          <w:szCs w:val="22"/>
        </w:rPr>
        <w:t xml:space="preserve"> to 22 Arden Crescent, Rosanna to</w:t>
      </w:r>
      <w:r w:rsidR="007C17C9" w:rsidRPr="007C17C9">
        <w:rPr>
          <w:color w:val="auto"/>
          <w:sz w:val="22"/>
          <w:szCs w:val="22"/>
        </w:rPr>
        <w:t xml:space="preserve"> enable</w:t>
      </w:r>
      <w:r w:rsidRPr="007C17C9">
        <w:rPr>
          <w:color w:val="auto"/>
          <w:sz w:val="22"/>
          <w:szCs w:val="22"/>
        </w:rPr>
        <w:t xml:space="preserve"> full consideration of the herita</w:t>
      </w:r>
      <w:r w:rsidR="007C17C9">
        <w:rPr>
          <w:color w:val="auto"/>
          <w:sz w:val="22"/>
          <w:szCs w:val="22"/>
        </w:rPr>
        <w:t>ge significance of the property</w:t>
      </w:r>
      <w:r w:rsidR="00BF0C5D">
        <w:rPr>
          <w:color w:val="auto"/>
          <w:sz w:val="22"/>
          <w:szCs w:val="22"/>
        </w:rPr>
        <w:t>.</w:t>
      </w:r>
    </w:p>
    <w:p w:rsidR="00E71F3F" w:rsidRDefault="00E71F3F" w:rsidP="00F84C8A">
      <w:pPr>
        <w:pStyle w:val="Heading2"/>
        <w:spacing w:before="240" w:after="240"/>
        <w:jc w:val="left"/>
        <w:rPr>
          <w:rFonts w:cs="Arial"/>
          <w:sz w:val="22"/>
          <w:szCs w:val="22"/>
        </w:rPr>
      </w:pPr>
    </w:p>
    <w:p w:rsidR="00E401A9" w:rsidRPr="007E0E39" w:rsidRDefault="00E401A9" w:rsidP="00F84C8A">
      <w:pPr>
        <w:pStyle w:val="Heading2"/>
        <w:spacing w:before="240" w:after="240"/>
        <w:jc w:val="left"/>
        <w:rPr>
          <w:rFonts w:cs="Arial"/>
          <w:sz w:val="22"/>
          <w:szCs w:val="22"/>
        </w:rPr>
      </w:pPr>
      <w:r w:rsidRPr="007E0E39">
        <w:rPr>
          <w:rFonts w:cs="Arial"/>
          <w:sz w:val="22"/>
          <w:szCs w:val="22"/>
        </w:rPr>
        <w:t>How does the Amendment implement the objectives of planning in Victoria?</w:t>
      </w:r>
    </w:p>
    <w:p w:rsidR="007B4CFE" w:rsidRPr="007E0E39" w:rsidRDefault="007B4CFE" w:rsidP="00BF0C5D">
      <w:pPr>
        <w:spacing w:before="0"/>
        <w:rPr>
          <w:rFonts w:ascii="Arial" w:hAnsi="Arial" w:cs="Arial"/>
          <w:sz w:val="22"/>
          <w:szCs w:val="22"/>
        </w:rPr>
      </w:pPr>
      <w:r w:rsidRPr="007E0E39">
        <w:rPr>
          <w:rFonts w:ascii="Arial" w:hAnsi="Arial" w:cs="Arial"/>
          <w:sz w:val="22"/>
          <w:szCs w:val="22"/>
        </w:rPr>
        <w:t xml:space="preserve">The amendment is consistent with the objectives of planning in Victoria, </w:t>
      </w:r>
      <w:r w:rsidR="007A4141">
        <w:rPr>
          <w:rFonts w:ascii="Arial" w:hAnsi="Arial" w:cs="Arial"/>
          <w:sz w:val="22"/>
          <w:szCs w:val="22"/>
        </w:rPr>
        <w:t>by implementing</w:t>
      </w:r>
      <w:r w:rsidRPr="007E0E39">
        <w:rPr>
          <w:rFonts w:ascii="Arial" w:hAnsi="Arial" w:cs="Arial"/>
          <w:sz w:val="22"/>
          <w:szCs w:val="22"/>
        </w:rPr>
        <w:t xml:space="preserve"> the objective detailed in Section 4(1) (d) of the Planning and Environment Act 1987, being:</w:t>
      </w:r>
    </w:p>
    <w:p w:rsidR="007B4CFE" w:rsidRPr="007E0E39" w:rsidRDefault="007B4CFE" w:rsidP="00BF0C5D">
      <w:pPr>
        <w:spacing w:before="0"/>
        <w:rPr>
          <w:rFonts w:ascii="Arial" w:hAnsi="Arial" w:cs="Arial"/>
          <w:sz w:val="22"/>
          <w:szCs w:val="22"/>
        </w:rPr>
      </w:pPr>
    </w:p>
    <w:p w:rsidR="007B4CFE" w:rsidRPr="007E0E39" w:rsidRDefault="007B4CFE" w:rsidP="00BF0C5D">
      <w:pPr>
        <w:spacing w:before="0"/>
        <w:rPr>
          <w:rFonts w:ascii="Arial" w:hAnsi="Arial" w:cs="Arial"/>
          <w:i/>
          <w:sz w:val="22"/>
          <w:szCs w:val="22"/>
        </w:rPr>
      </w:pPr>
      <w:r w:rsidRPr="007E0E39">
        <w:rPr>
          <w:rFonts w:ascii="Arial" w:hAnsi="Arial" w:cs="Arial"/>
          <w:i/>
          <w:sz w:val="22"/>
          <w:szCs w:val="22"/>
          <w:lang w:val="en"/>
        </w:rPr>
        <w:t>To conserve and enhance those buildings, areas or other places which are of scientific, aesthetic, architectural or historical interest, or otherwise of special cultural value.</w:t>
      </w:r>
    </w:p>
    <w:p w:rsidR="00E401A9" w:rsidRPr="007E0E39" w:rsidRDefault="00E401A9" w:rsidP="00F84C8A">
      <w:pPr>
        <w:pStyle w:val="Heading2"/>
        <w:spacing w:before="240" w:after="240"/>
        <w:jc w:val="left"/>
        <w:rPr>
          <w:rFonts w:cs="Arial"/>
          <w:sz w:val="22"/>
          <w:szCs w:val="22"/>
        </w:rPr>
      </w:pPr>
      <w:r w:rsidRPr="007E0E39">
        <w:rPr>
          <w:rFonts w:cs="Arial"/>
          <w:sz w:val="22"/>
          <w:szCs w:val="22"/>
        </w:rPr>
        <w:t>How does the Amendment address any environmental, social and economic effects?</w:t>
      </w:r>
    </w:p>
    <w:p w:rsidR="00DC3B06" w:rsidRPr="00DC3B06" w:rsidRDefault="00DC3B06" w:rsidP="00BF0C5D">
      <w:pPr>
        <w:spacing w:before="125" w:line="252" w:lineRule="exact"/>
        <w:textAlignment w:val="baseline"/>
        <w:rPr>
          <w:rFonts w:ascii="Arial" w:hAnsi="Arial" w:cs="Arial"/>
          <w:sz w:val="22"/>
          <w:szCs w:val="22"/>
          <w:lang w:val="en-GB"/>
        </w:rPr>
      </w:pPr>
      <w:r w:rsidRPr="00DC3B06">
        <w:rPr>
          <w:rFonts w:ascii="Arial" w:hAnsi="Arial" w:cs="Arial"/>
          <w:sz w:val="22"/>
          <w:szCs w:val="22"/>
          <w:lang w:val="en-GB"/>
        </w:rPr>
        <w:t>The amendment will not have any adverse effects on the environment.</w:t>
      </w:r>
    </w:p>
    <w:p w:rsidR="00DC3B06" w:rsidRPr="00DC3B06" w:rsidRDefault="00DC3B06" w:rsidP="00BF0C5D">
      <w:pPr>
        <w:spacing w:before="124" w:line="250" w:lineRule="exact"/>
        <w:textAlignment w:val="baseline"/>
        <w:rPr>
          <w:rFonts w:ascii="Arial" w:hAnsi="Arial" w:cs="Arial"/>
          <w:sz w:val="22"/>
          <w:szCs w:val="22"/>
          <w:lang w:val="en-GB"/>
        </w:rPr>
      </w:pPr>
      <w:r w:rsidRPr="00DC3B06">
        <w:rPr>
          <w:rFonts w:ascii="Arial" w:hAnsi="Arial" w:cs="Arial"/>
          <w:sz w:val="22"/>
          <w:szCs w:val="22"/>
          <w:lang w:val="en-GB"/>
        </w:rPr>
        <w:t>The amendment will have positive social and cultural effects through the protection of this place in the planning scheme.</w:t>
      </w:r>
    </w:p>
    <w:p w:rsidR="00DC3B06" w:rsidRPr="00DC3B06" w:rsidRDefault="00DC3B06" w:rsidP="00BF0C5D">
      <w:pPr>
        <w:spacing w:before="119" w:line="255" w:lineRule="exact"/>
        <w:textAlignment w:val="baseline"/>
        <w:rPr>
          <w:rFonts w:ascii="Arial" w:hAnsi="Arial" w:cs="Arial"/>
          <w:sz w:val="22"/>
          <w:szCs w:val="22"/>
          <w:lang w:val="en-GB"/>
        </w:rPr>
      </w:pPr>
      <w:r w:rsidRPr="00DC3B06">
        <w:rPr>
          <w:rFonts w:ascii="Arial" w:hAnsi="Arial" w:cs="Arial"/>
          <w:sz w:val="22"/>
          <w:szCs w:val="22"/>
          <w:lang w:val="en-GB"/>
        </w:rPr>
        <w:t>The application of the Heritage Overlay has an economic impact by affecting development of the site.</w:t>
      </w:r>
    </w:p>
    <w:p w:rsidR="00E401A9" w:rsidRPr="007E0E39" w:rsidRDefault="00E401A9" w:rsidP="00F84C8A">
      <w:pPr>
        <w:pStyle w:val="Heading2"/>
        <w:spacing w:before="240" w:after="240"/>
        <w:jc w:val="left"/>
        <w:rPr>
          <w:rFonts w:cs="Arial"/>
          <w:sz w:val="22"/>
          <w:szCs w:val="22"/>
        </w:rPr>
      </w:pPr>
      <w:r w:rsidRPr="007E0E39">
        <w:rPr>
          <w:rFonts w:cs="Arial"/>
          <w:sz w:val="22"/>
          <w:szCs w:val="22"/>
        </w:rPr>
        <w:t>Does the Amendment address relevant bushfire risk?</w:t>
      </w:r>
    </w:p>
    <w:p w:rsidR="007E0E39" w:rsidRPr="007E0E39" w:rsidRDefault="007A4141" w:rsidP="007A4141">
      <w:pPr>
        <w:spacing w:before="0"/>
        <w:rPr>
          <w:rFonts w:ascii="Arial" w:hAnsi="Arial" w:cs="Arial"/>
          <w:sz w:val="22"/>
          <w:szCs w:val="22"/>
          <w:lang w:val="en-GB"/>
        </w:rPr>
      </w:pPr>
      <w:r>
        <w:rPr>
          <w:rFonts w:ascii="Arial" w:hAnsi="Arial" w:cs="Arial"/>
          <w:sz w:val="22"/>
          <w:szCs w:val="22"/>
          <w:lang w:val="en-GB"/>
        </w:rPr>
        <w:t>The land is not subject to bushfire risk or a Bushfire Management Overlay, and the amendment is unlikely to result in any significant increase to the risk to life, property, community, infrastructure or the natural environment from bushfire.</w:t>
      </w:r>
    </w:p>
    <w:p w:rsidR="00E401A9" w:rsidRPr="007E0E39" w:rsidRDefault="00E401A9" w:rsidP="00F84C8A">
      <w:pPr>
        <w:pStyle w:val="Heading2"/>
        <w:spacing w:before="240" w:after="240"/>
        <w:jc w:val="left"/>
        <w:rPr>
          <w:rFonts w:cs="Arial"/>
          <w:sz w:val="22"/>
          <w:szCs w:val="22"/>
        </w:rPr>
      </w:pPr>
      <w:r w:rsidRPr="007E0E39">
        <w:rPr>
          <w:rFonts w:cs="Arial"/>
          <w:sz w:val="22"/>
          <w:szCs w:val="22"/>
        </w:rPr>
        <w:t>Does the Amendment comply with the requirements of any Minister’s Direction applicable to the amendment?</w:t>
      </w:r>
    </w:p>
    <w:p w:rsidR="007E0E39" w:rsidRDefault="007E0E39" w:rsidP="007E0E39">
      <w:pPr>
        <w:spacing w:before="125" w:line="252" w:lineRule="exact"/>
        <w:textAlignment w:val="baseline"/>
        <w:rPr>
          <w:rFonts w:ascii="Arial" w:eastAsia="Arial" w:hAnsi="Arial"/>
          <w:color w:val="000000"/>
          <w:sz w:val="22"/>
          <w:lang w:val="en-US"/>
        </w:rPr>
      </w:pPr>
      <w:r>
        <w:rPr>
          <w:rFonts w:ascii="Arial" w:eastAsia="Arial" w:hAnsi="Arial"/>
          <w:color w:val="000000"/>
          <w:sz w:val="22"/>
          <w:lang w:val="en-US"/>
        </w:rPr>
        <w:t>The amendment is consistent with the Ministerial Direction on the Form and Content of Planning Schemes under Section 7(5) of the Act</w:t>
      </w:r>
      <w:r w:rsidR="007A4141">
        <w:rPr>
          <w:rFonts w:ascii="Arial" w:eastAsia="Arial" w:hAnsi="Arial"/>
          <w:color w:val="000000"/>
          <w:sz w:val="22"/>
          <w:lang w:val="en-US"/>
        </w:rPr>
        <w:t>.</w:t>
      </w:r>
    </w:p>
    <w:p w:rsidR="007A4141" w:rsidRDefault="007A4141" w:rsidP="007A4141">
      <w:pPr>
        <w:spacing w:line="252" w:lineRule="exact"/>
        <w:textAlignment w:val="baseline"/>
        <w:rPr>
          <w:rFonts w:ascii="Arial" w:eastAsia="Arial" w:hAnsi="Arial"/>
          <w:color w:val="000000"/>
          <w:sz w:val="22"/>
          <w:lang w:val="en-US"/>
        </w:rPr>
      </w:pPr>
      <w:r w:rsidRPr="00126A98">
        <w:rPr>
          <w:rFonts w:ascii="Arial" w:eastAsia="Arial" w:hAnsi="Arial"/>
          <w:color w:val="000000"/>
          <w:sz w:val="22"/>
          <w:lang w:val="en-US"/>
        </w:rPr>
        <w:t>The amendment complies with Ministerial Direction No. 9 Metropolitan Planning Strategy which</w:t>
      </w:r>
      <w:r>
        <w:rPr>
          <w:rFonts w:ascii="Arial" w:eastAsia="Arial" w:hAnsi="Arial"/>
          <w:color w:val="000000"/>
          <w:sz w:val="22"/>
          <w:lang w:val="en-US"/>
        </w:rPr>
        <w:t xml:space="preserve"> </w:t>
      </w:r>
      <w:r w:rsidRPr="00126A98">
        <w:rPr>
          <w:rFonts w:ascii="Arial" w:eastAsia="Arial" w:hAnsi="Arial"/>
          <w:color w:val="000000"/>
          <w:sz w:val="22"/>
          <w:lang w:val="en-US"/>
        </w:rPr>
        <w:t>requires amendments to have regard to Plan Melbourne 2017-2050. The amendment is consistent</w:t>
      </w:r>
      <w:r>
        <w:rPr>
          <w:rFonts w:ascii="Arial" w:eastAsia="Arial" w:hAnsi="Arial"/>
          <w:color w:val="000000"/>
          <w:sz w:val="22"/>
          <w:lang w:val="en-US"/>
        </w:rPr>
        <w:t xml:space="preserve"> </w:t>
      </w:r>
      <w:r w:rsidRPr="00126A98">
        <w:rPr>
          <w:rFonts w:ascii="Arial" w:eastAsia="Arial" w:hAnsi="Arial"/>
          <w:color w:val="000000"/>
          <w:sz w:val="22"/>
          <w:lang w:val="en-US"/>
        </w:rPr>
        <w:t>with Direction 4.4 which recognises the contribution heritage makes to Melbourne’s distinctiveness</w:t>
      </w:r>
      <w:r>
        <w:rPr>
          <w:rFonts w:ascii="Arial" w:eastAsia="Arial" w:hAnsi="Arial"/>
          <w:color w:val="000000"/>
          <w:sz w:val="22"/>
          <w:lang w:val="en-US"/>
        </w:rPr>
        <w:t xml:space="preserve"> </w:t>
      </w:r>
      <w:r w:rsidRPr="00126A98">
        <w:rPr>
          <w:rFonts w:ascii="Arial" w:eastAsia="Arial" w:hAnsi="Arial"/>
          <w:color w:val="000000"/>
          <w:sz w:val="22"/>
          <w:lang w:val="en-US"/>
        </w:rPr>
        <w:t xml:space="preserve">and </w:t>
      </w:r>
      <w:r w:rsidR="001F4836" w:rsidRPr="00126A98">
        <w:rPr>
          <w:rFonts w:ascii="Arial" w:eastAsia="Arial" w:hAnsi="Arial"/>
          <w:color w:val="000000"/>
          <w:sz w:val="22"/>
          <w:lang w:val="en-US"/>
        </w:rPr>
        <w:t>livability</w:t>
      </w:r>
      <w:r w:rsidRPr="00126A98">
        <w:rPr>
          <w:rFonts w:ascii="Arial" w:eastAsia="Arial" w:hAnsi="Arial"/>
          <w:color w:val="000000"/>
          <w:sz w:val="22"/>
          <w:lang w:val="en-US"/>
        </w:rPr>
        <w:t xml:space="preserve"> and advocates for the protection of Melbourne’s heritage places.</w:t>
      </w:r>
    </w:p>
    <w:p w:rsidR="007A4141" w:rsidRDefault="007A4141" w:rsidP="007A4141">
      <w:pPr>
        <w:spacing w:line="252" w:lineRule="exact"/>
        <w:textAlignment w:val="baseline"/>
        <w:rPr>
          <w:rFonts w:ascii="Arial" w:eastAsia="Arial" w:hAnsi="Arial"/>
          <w:color w:val="000000"/>
          <w:sz w:val="22"/>
          <w:lang w:val="en-US"/>
        </w:rPr>
      </w:pPr>
      <w:r w:rsidRPr="00126A98">
        <w:rPr>
          <w:rFonts w:ascii="Arial" w:eastAsia="Arial" w:hAnsi="Arial"/>
          <w:color w:val="000000"/>
          <w:sz w:val="22"/>
          <w:lang w:val="en-US"/>
        </w:rPr>
        <w:t>Consistent with this Ministerial Direction, this amendment proposes to apply the HO to protect</w:t>
      </w:r>
      <w:r>
        <w:rPr>
          <w:rFonts w:ascii="Arial" w:eastAsia="Arial" w:hAnsi="Arial"/>
          <w:color w:val="000000"/>
          <w:sz w:val="22"/>
          <w:lang w:val="en-US"/>
        </w:rPr>
        <w:t xml:space="preserve"> a </w:t>
      </w:r>
      <w:r w:rsidRPr="00126A98">
        <w:rPr>
          <w:rFonts w:ascii="Arial" w:eastAsia="Arial" w:hAnsi="Arial"/>
          <w:color w:val="000000"/>
          <w:sz w:val="22"/>
          <w:lang w:val="en-US"/>
        </w:rPr>
        <w:t>propert</w:t>
      </w:r>
      <w:r>
        <w:rPr>
          <w:rFonts w:ascii="Arial" w:eastAsia="Arial" w:hAnsi="Arial"/>
          <w:color w:val="000000"/>
          <w:sz w:val="22"/>
          <w:lang w:val="en-US"/>
        </w:rPr>
        <w:t>y</w:t>
      </w:r>
      <w:r w:rsidRPr="00126A98">
        <w:rPr>
          <w:rFonts w:ascii="Arial" w:eastAsia="Arial" w:hAnsi="Arial"/>
          <w:color w:val="000000"/>
          <w:sz w:val="22"/>
          <w:lang w:val="en-US"/>
        </w:rPr>
        <w:t xml:space="preserve"> with identified heritage value. The demolition of</w:t>
      </w:r>
      <w:r>
        <w:rPr>
          <w:rFonts w:ascii="Arial" w:eastAsia="Arial" w:hAnsi="Arial"/>
          <w:color w:val="000000"/>
          <w:sz w:val="22"/>
          <w:lang w:val="en-US"/>
        </w:rPr>
        <w:t xml:space="preserve"> a</w:t>
      </w:r>
      <w:r w:rsidRPr="00126A98">
        <w:rPr>
          <w:rFonts w:ascii="Arial" w:eastAsia="Arial" w:hAnsi="Arial"/>
          <w:color w:val="000000"/>
          <w:sz w:val="22"/>
          <w:lang w:val="en-US"/>
        </w:rPr>
        <w:t xml:space="preserve"> propert</w:t>
      </w:r>
      <w:r>
        <w:rPr>
          <w:rFonts w:ascii="Arial" w:eastAsia="Arial" w:hAnsi="Arial"/>
          <w:color w:val="000000"/>
          <w:sz w:val="22"/>
          <w:lang w:val="en-US"/>
        </w:rPr>
        <w:t>y</w:t>
      </w:r>
      <w:r w:rsidRPr="00126A98">
        <w:rPr>
          <w:rFonts w:ascii="Arial" w:eastAsia="Arial" w:hAnsi="Arial"/>
          <w:color w:val="000000"/>
          <w:sz w:val="22"/>
          <w:lang w:val="en-US"/>
        </w:rPr>
        <w:t xml:space="preserve"> that contribute</w:t>
      </w:r>
      <w:r>
        <w:rPr>
          <w:rFonts w:ascii="Arial" w:eastAsia="Arial" w:hAnsi="Arial"/>
          <w:color w:val="000000"/>
          <w:sz w:val="22"/>
          <w:lang w:val="en-US"/>
        </w:rPr>
        <w:t>s</w:t>
      </w:r>
      <w:r w:rsidRPr="00126A98">
        <w:rPr>
          <w:rFonts w:ascii="Arial" w:eastAsia="Arial" w:hAnsi="Arial"/>
          <w:color w:val="000000"/>
          <w:sz w:val="22"/>
          <w:lang w:val="en-US"/>
        </w:rPr>
        <w:t xml:space="preserve"> to the heritage</w:t>
      </w:r>
      <w:r>
        <w:rPr>
          <w:rFonts w:ascii="Arial" w:eastAsia="Arial" w:hAnsi="Arial"/>
          <w:color w:val="000000"/>
          <w:sz w:val="22"/>
          <w:lang w:val="en-US"/>
        </w:rPr>
        <w:t xml:space="preserve"> </w:t>
      </w:r>
      <w:r w:rsidRPr="00126A98">
        <w:rPr>
          <w:rFonts w:ascii="Arial" w:eastAsia="Arial" w:hAnsi="Arial"/>
          <w:color w:val="000000"/>
          <w:sz w:val="22"/>
          <w:lang w:val="en-US"/>
        </w:rPr>
        <w:t xml:space="preserve">significance of </w:t>
      </w:r>
      <w:r>
        <w:rPr>
          <w:rFonts w:ascii="Arial" w:eastAsia="Arial" w:hAnsi="Arial"/>
          <w:color w:val="000000"/>
          <w:sz w:val="22"/>
          <w:lang w:val="en-US"/>
        </w:rPr>
        <w:t>Banyule’s</w:t>
      </w:r>
      <w:r w:rsidRPr="00126A98">
        <w:rPr>
          <w:rFonts w:ascii="Arial" w:eastAsia="Arial" w:hAnsi="Arial"/>
          <w:color w:val="000000"/>
          <w:sz w:val="22"/>
          <w:lang w:val="en-US"/>
        </w:rPr>
        <w:t xml:space="preserve"> residential area would detrimentally impact </w:t>
      </w:r>
      <w:r>
        <w:rPr>
          <w:rFonts w:ascii="Arial" w:eastAsia="Arial" w:hAnsi="Arial"/>
          <w:color w:val="000000"/>
          <w:sz w:val="22"/>
          <w:lang w:val="en-US"/>
        </w:rPr>
        <w:t xml:space="preserve">on the municipality’s </w:t>
      </w:r>
      <w:r w:rsidRPr="00126A98">
        <w:rPr>
          <w:rFonts w:ascii="Arial" w:eastAsia="Arial" w:hAnsi="Arial"/>
          <w:color w:val="000000"/>
          <w:sz w:val="22"/>
          <w:lang w:val="en-US"/>
        </w:rPr>
        <w:t>neighbourhood character and local history.</w:t>
      </w:r>
    </w:p>
    <w:p w:rsidR="007A4141" w:rsidRDefault="007A4141" w:rsidP="007A4141">
      <w:pPr>
        <w:spacing w:line="252" w:lineRule="exact"/>
        <w:textAlignment w:val="baseline"/>
        <w:rPr>
          <w:rFonts w:ascii="Arial" w:eastAsia="Arial" w:hAnsi="Arial"/>
          <w:color w:val="000000"/>
        </w:rPr>
      </w:pPr>
      <w:r w:rsidRPr="00126A98">
        <w:rPr>
          <w:rFonts w:ascii="Arial" w:eastAsia="Arial" w:hAnsi="Arial"/>
          <w:color w:val="000000"/>
          <w:sz w:val="22"/>
          <w:lang w:val="en-US"/>
        </w:rPr>
        <w:t>The amendment is not considered to compromise the implementation of the Metropolitan Planning Strategy. The amendment also addresses the requirements of</w:t>
      </w:r>
      <w:r>
        <w:rPr>
          <w:rFonts w:ascii="Arial" w:eastAsia="Arial" w:hAnsi="Arial"/>
          <w:color w:val="000000"/>
          <w:sz w:val="22"/>
          <w:lang w:val="en-US"/>
        </w:rPr>
        <w:t xml:space="preserve"> </w:t>
      </w:r>
      <w:r w:rsidRPr="00126A98">
        <w:rPr>
          <w:rFonts w:ascii="Arial" w:eastAsia="Arial" w:hAnsi="Arial"/>
          <w:i/>
          <w:color w:val="000000"/>
          <w:sz w:val="22"/>
          <w:lang w:val="en-US"/>
        </w:rPr>
        <w:t>Ministerial Direction No. 11 – Strategic Assessment of Amendments</w:t>
      </w:r>
      <w:r w:rsidRPr="00126A98">
        <w:rPr>
          <w:rFonts w:ascii="Arial" w:eastAsia="Arial" w:hAnsi="Arial"/>
          <w:color w:val="000000"/>
          <w:sz w:val="22"/>
          <w:lang w:val="en-US"/>
        </w:rPr>
        <w:t>.</w:t>
      </w:r>
    </w:p>
    <w:p w:rsidR="007A4141" w:rsidRDefault="007A4141" w:rsidP="007E0E39">
      <w:pPr>
        <w:spacing w:before="125" w:line="252" w:lineRule="exact"/>
        <w:textAlignment w:val="baseline"/>
        <w:rPr>
          <w:rFonts w:ascii="Arial" w:eastAsia="Arial" w:hAnsi="Arial"/>
          <w:color w:val="000000"/>
        </w:rPr>
      </w:pPr>
    </w:p>
    <w:p w:rsidR="00E401A9" w:rsidRPr="007E0E39" w:rsidRDefault="00E401A9" w:rsidP="00F84C8A">
      <w:pPr>
        <w:pStyle w:val="Heading2"/>
        <w:spacing w:before="240" w:after="240"/>
        <w:jc w:val="left"/>
        <w:rPr>
          <w:rFonts w:cs="Arial"/>
          <w:sz w:val="22"/>
          <w:szCs w:val="22"/>
        </w:rPr>
      </w:pPr>
      <w:r w:rsidRPr="007E0E39">
        <w:rPr>
          <w:rFonts w:cs="Arial"/>
          <w:sz w:val="22"/>
          <w:szCs w:val="22"/>
        </w:rPr>
        <w:t>How does the Amendmen</w:t>
      </w:r>
      <w:r w:rsidR="00BF0C5D">
        <w:rPr>
          <w:rFonts w:cs="Arial"/>
          <w:sz w:val="22"/>
          <w:szCs w:val="22"/>
        </w:rPr>
        <w:t>t support or implement the</w:t>
      </w:r>
      <w:r w:rsidRPr="007E0E39">
        <w:rPr>
          <w:rFonts w:cs="Arial"/>
          <w:sz w:val="22"/>
          <w:szCs w:val="22"/>
        </w:rPr>
        <w:t xml:space="preserve"> Planning Policy Framework and any adopted State policy?</w:t>
      </w:r>
    </w:p>
    <w:p w:rsidR="00C2674A" w:rsidRDefault="00C2674A" w:rsidP="00801DB7">
      <w:pPr>
        <w:autoSpaceDE w:val="0"/>
        <w:autoSpaceDN w:val="0"/>
        <w:adjustRightInd w:val="0"/>
        <w:snapToGrid w:val="0"/>
        <w:spacing w:before="0"/>
        <w:rPr>
          <w:rFonts w:ascii="Arial" w:hAnsi="Arial" w:cs="Arial"/>
          <w:color w:val="000000"/>
          <w:sz w:val="22"/>
          <w:szCs w:val="22"/>
          <w:lang w:val="x-none"/>
        </w:rPr>
      </w:pPr>
      <w:r w:rsidRPr="006461E0">
        <w:rPr>
          <w:rFonts w:ascii="Arial" w:hAnsi="Arial" w:cs="Arial"/>
          <w:color w:val="000000"/>
          <w:sz w:val="22"/>
          <w:szCs w:val="22"/>
          <w:lang w:val="x-none"/>
        </w:rPr>
        <w:t xml:space="preserve">The amendment supports and implements the </w:t>
      </w:r>
      <w:r>
        <w:rPr>
          <w:rFonts w:ascii="Arial" w:hAnsi="Arial" w:cs="Arial"/>
          <w:color w:val="000000"/>
          <w:sz w:val="22"/>
          <w:szCs w:val="22"/>
          <w:lang w:val="x-none"/>
        </w:rPr>
        <w:t>Planning Policy Framework (</w:t>
      </w:r>
      <w:r w:rsidRPr="006461E0">
        <w:rPr>
          <w:rFonts w:ascii="Arial" w:hAnsi="Arial" w:cs="Arial"/>
          <w:color w:val="000000"/>
          <w:sz w:val="22"/>
          <w:szCs w:val="22"/>
          <w:lang w:val="x-none"/>
        </w:rPr>
        <w:t xml:space="preserve">PPF). </w:t>
      </w:r>
    </w:p>
    <w:p w:rsidR="00C2674A" w:rsidRDefault="00C2674A" w:rsidP="00801DB7">
      <w:pPr>
        <w:autoSpaceDE w:val="0"/>
        <w:autoSpaceDN w:val="0"/>
        <w:adjustRightInd w:val="0"/>
        <w:snapToGrid w:val="0"/>
        <w:spacing w:before="0"/>
        <w:rPr>
          <w:rFonts w:ascii="Arial" w:hAnsi="Arial" w:cs="Arial"/>
          <w:color w:val="000000"/>
          <w:sz w:val="22"/>
          <w:szCs w:val="22"/>
          <w:lang w:val="x-none"/>
        </w:rPr>
      </w:pPr>
    </w:p>
    <w:p w:rsidR="007E0E39" w:rsidRPr="0090146C" w:rsidRDefault="00C2674A" w:rsidP="00801DB7">
      <w:pPr>
        <w:autoSpaceDE w:val="0"/>
        <w:autoSpaceDN w:val="0"/>
        <w:adjustRightInd w:val="0"/>
        <w:snapToGrid w:val="0"/>
        <w:spacing w:before="0"/>
        <w:rPr>
          <w:rFonts w:ascii="Arial" w:hAnsi="Arial" w:cs="Arial"/>
          <w:color w:val="000000"/>
          <w:sz w:val="22"/>
          <w:szCs w:val="22"/>
          <w:lang w:val="x-none"/>
        </w:rPr>
      </w:pPr>
      <w:r w:rsidRPr="006461E0">
        <w:rPr>
          <w:rFonts w:ascii="Arial" w:hAnsi="Arial" w:cs="Arial"/>
          <w:color w:val="000000"/>
          <w:sz w:val="22"/>
          <w:szCs w:val="22"/>
          <w:lang w:val="x-none"/>
        </w:rPr>
        <w:t>State planning policies of relevance to this amendment include:</w:t>
      </w:r>
    </w:p>
    <w:p w:rsidR="00C2674A" w:rsidRDefault="007E0E39" w:rsidP="00801DB7">
      <w:pPr>
        <w:spacing w:before="121" w:line="254" w:lineRule="exact"/>
        <w:textAlignment w:val="baseline"/>
        <w:rPr>
          <w:rFonts w:ascii="Arial" w:eastAsia="Arial" w:hAnsi="Arial"/>
          <w:color w:val="000000"/>
          <w:sz w:val="22"/>
          <w:lang w:val="en-US"/>
        </w:rPr>
      </w:pPr>
      <w:r>
        <w:rPr>
          <w:rFonts w:ascii="Arial" w:eastAsia="Arial" w:hAnsi="Arial"/>
          <w:color w:val="000000"/>
          <w:sz w:val="22"/>
          <w:lang w:val="en-US"/>
        </w:rPr>
        <w:t>Clause 15.01-5</w:t>
      </w:r>
      <w:r w:rsidR="003931D5">
        <w:rPr>
          <w:rFonts w:ascii="Arial" w:eastAsia="Arial" w:hAnsi="Arial"/>
          <w:color w:val="000000"/>
          <w:sz w:val="22"/>
          <w:lang w:val="en-US"/>
        </w:rPr>
        <w:t>S</w:t>
      </w:r>
      <w:r>
        <w:rPr>
          <w:rFonts w:ascii="Arial" w:eastAsia="Arial" w:hAnsi="Arial"/>
          <w:color w:val="000000"/>
          <w:sz w:val="22"/>
          <w:lang w:val="en-US"/>
        </w:rPr>
        <w:t xml:space="preserve"> </w:t>
      </w:r>
      <w:r w:rsidR="003931D5">
        <w:rPr>
          <w:rFonts w:ascii="Arial" w:eastAsia="Arial" w:hAnsi="Arial"/>
          <w:color w:val="000000"/>
          <w:sz w:val="22"/>
          <w:lang w:val="en-US"/>
        </w:rPr>
        <w:t>N</w:t>
      </w:r>
      <w:r w:rsidR="007A4141">
        <w:rPr>
          <w:rFonts w:ascii="Arial" w:eastAsia="Arial" w:hAnsi="Arial"/>
          <w:color w:val="000000"/>
          <w:sz w:val="22"/>
          <w:lang w:val="en-US"/>
        </w:rPr>
        <w:t xml:space="preserve">eighbourhood Character: which seeks to </w:t>
      </w:r>
      <w:r w:rsidR="003931D5">
        <w:rPr>
          <w:rFonts w:ascii="Arial" w:eastAsia="Arial" w:hAnsi="Arial"/>
          <w:color w:val="000000"/>
          <w:sz w:val="22"/>
          <w:lang w:val="en-US"/>
        </w:rPr>
        <w:t>recognise, support</w:t>
      </w:r>
      <w:r>
        <w:rPr>
          <w:rFonts w:ascii="Arial" w:eastAsia="Arial" w:hAnsi="Arial"/>
          <w:color w:val="000000"/>
          <w:sz w:val="22"/>
          <w:lang w:val="en-US"/>
        </w:rPr>
        <w:t xml:space="preserve"> and </w:t>
      </w:r>
      <w:r w:rsidR="003931D5">
        <w:rPr>
          <w:rFonts w:ascii="Arial" w:eastAsia="Arial" w:hAnsi="Arial"/>
          <w:color w:val="000000"/>
          <w:sz w:val="22"/>
          <w:lang w:val="en-US"/>
        </w:rPr>
        <w:t xml:space="preserve">protect </w:t>
      </w:r>
      <w:r>
        <w:rPr>
          <w:rFonts w:ascii="Arial" w:eastAsia="Arial" w:hAnsi="Arial"/>
          <w:color w:val="000000"/>
          <w:sz w:val="22"/>
          <w:lang w:val="en-US"/>
        </w:rPr>
        <w:t>neighbourhood character</w:t>
      </w:r>
      <w:r w:rsidR="003931D5">
        <w:rPr>
          <w:rFonts w:ascii="Arial" w:eastAsia="Arial" w:hAnsi="Arial"/>
          <w:color w:val="000000"/>
          <w:sz w:val="22"/>
          <w:lang w:val="en-US"/>
        </w:rPr>
        <w:t>, cultural identity</w:t>
      </w:r>
      <w:r w:rsidR="00C2674A">
        <w:rPr>
          <w:rFonts w:ascii="Arial" w:eastAsia="Arial" w:hAnsi="Arial"/>
          <w:color w:val="000000"/>
          <w:sz w:val="22"/>
          <w:lang w:val="en-US"/>
        </w:rPr>
        <w:t xml:space="preserve"> and a sense of place.</w:t>
      </w:r>
    </w:p>
    <w:p w:rsidR="007E0E39" w:rsidRDefault="007E0E39" w:rsidP="00801DB7">
      <w:pPr>
        <w:tabs>
          <w:tab w:val="left" w:pos="256"/>
          <w:tab w:val="left" w:pos="1440"/>
        </w:tabs>
        <w:spacing w:before="3" w:line="252" w:lineRule="exact"/>
        <w:textAlignment w:val="baseline"/>
        <w:rPr>
          <w:rFonts w:ascii="Arial" w:eastAsia="Arial" w:hAnsi="Arial"/>
          <w:color w:val="000000"/>
        </w:rPr>
      </w:pPr>
    </w:p>
    <w:p w:rsidR="00C2674A" w:rsidRDefault="007E0E39" w:rsidP="00801DB7">
      <w:pPr>
        <w:spacing w:before="121" w:line="254" w:lineRule="exact"/>
        <w:textAlignment w:val="baseline"/>
        <w:rPr>
          <w:rFonts w:ascii="Arial" w:eastAsia="Arial" w:hAnsi="Arial"/>
          <w:color w:val="000000"/>
          <w:sz w:val="22"/>
          <w:lang w:val="en-US"/>
        </w:rPr>
      </w:pPr>
      <w:r>
        <w:rPr>
          <w:rFonts w:ascii="Arial" w:eastAsia="Arial" w:hAnsi="Arial"/>
          <w:color w:val="000000"/>
          <w:sz w:val="22"/>
          <w:lang w:val="en-US"/>
        </w:rPr>
        <w:t>Clause 15.03-1</w:t>
      </w:r>
      <w:r w:rsidR="003931D5">
        <w:rPr>
          <w:rFonts w:ascii="Arial" w:eastAsia="Arial" w:hAnsi="Arial"/>
          <w:color w:val="000000"/>
          <w:sz w:val="22"/>
          <w:lang w:val="en-US"/>
        </w:rPr>
        <w:t>S</w:t>
      </w:r>
      <w:r w:rsidR="00C2674A">
        <w:rPr>
          <w:rFonts w:ascii="Arial" w:eastAsia="Arial" w:hAnsi="Arial"/>
          <w:color w:val="000000"/>
          <w:sz w:val="22"/>
          <w:lang w:val="en-US"/>
        </w:rPr>
        <w:t xml:space="preserve"> Heritage C</w:t>
      </w:r>
      <w:r>
        <w:rPr>
          <w:rFonts w:ascii="Arial" w:eastAsia="Arial" w:hAnsi="Arial"/>
          <w:color w:val="000000"/>
          <w:sz w:val="22"/>
          <w:lang w:val="en-US"/>
        </w:rPr>
        <w:t>onservation</w:t>
      </w:r>
      <w:r w:rsidR="00C2674A">
        <w:rPr>
          <w:rFonts w:ascii="Arial" w:eastAsia="Arial" w:hAnsi="Arial"/>
          <w:color w:val="000000"/>
          <w:sz w:val="22"/>
          <w:lang w:val="en-US"/>
        </w:rPr>
        <w:t xml:space="preserve">: </w:t>
      </w:r>
      <w:r w:rsidR="007A4141">
        <w:rPr>
          <w:rFonts w:ascii="Arial" w:eastAsia="Arial" w:hAnsi="Arial"/>
          <w:color w:val="000000"/>
          <w:sz w:val="22"/>
          <w:lang w:val="en-US"/>
        </w:rPr>
        <w:t xml:space="preserve">seeks to </w:t>
      </w:r>
      <w:r>
        <w:rPr>
          <w:rFonts w:ascii="Arial" w:eastAsia="Arial" w:hAnsi="Arial"/>
          <w:color w:val="000000"/>
          <w:sz w:val="22"/>
          <w:lang w:val="en-US"/>
        </w:rPr>
        <w:t xml:space="preserve">ensure the conservation of </w:t>
      </w:r>
      <w:r w:rsidR="00E71F3F">
        <w:rPr>
          <w:rFonts w:ascii="Arial" w:eastAsia="Arial" w:hAnsi="Arial"/>
          <w:color w:val="000000"/>
          <w:sz w:val="22"/>
          <w:lang w:val="en-US"/>
        </w:rPr>
        <w:t>places of heritage significance</w:t>
      </w:r>
      <w:r w:rsidR="009C6BCC">
        <w:rPr>
          <w:rFonts w:ascii="Arial" w:eastAsia="Arial" w:hAnsi="Arial"/>
          <w:color w:val="000000"/>
          <w:sz w:val="22"/>
          <w:lang w:val="en-US"/>
        </w:rPr>
        <w:t>.</w:t>
      </w:r>
      <w:r>
        <w:rPr>
          <w:rFonts w:ascii="Arial" w:eastAsia="Arial" w:hAnsi="Arial"/>
          <w:color w:val="000000"/>
          <w:sz w:val="22"/>
          <w:lang w:val="en-US"/>
        </w:rPr>
        <w:t xml:space="preserve"> </w:t>
      </w:r>
      <w:r w:rsidR="007A4141">
        <w:rPr>
          <w:rFonts w:ascii="Arial" w:eastAsia="Arial" w:hAnsi="Arial"/>
          <w:color w:val="000000"/>
          <w:sz w:val="22"/>
          <w:lang w:val="en-US"/>
        </w:rPr>
        <w:t xml:space="preserve">This amendment would implement strategies to achieve this objective including: </w:t>
      </w:r>
    </w:p>
    <w:p w:rsidR="007A4141" w:rsidRDefault="007A4141" w:rsidP="00801DB7">
      <w:pPr>
        <w:spacing w:before="121" w:line="254" w:lineRule="exact"/>
        <w:textAlignment w:val="baseline"/>
        <w:rPr>
          <w:rFonts w:ascii="Arial" w:eastAsia="Arial" w:hAnsi="Arial"/>
          <w:color w:val="000000"/>
        </w:rPr>
      </w:pPr>
    </w:p>
    <w:p w:rsidR="007E0E39" w:rsidRPr="009C6BCC" w:rsidRDefault="007E0E39" w:rsidP="00801DB7">
      <w:pPr>
        <w:numPr>
          <w:ilvl w:val="0"/>
          <w:numId w:val="64"/>
        </w:numPr>
        <w:tabs>
          <w:tab w:val="clear" w:pos="360"/>
          <w:tab w:val="left" w:pos="426"/>
          <w:tab w:val="left" w:pos="720"/>
        </w:tabs>
        <w:spacing w:before="17" w:line="252" w:lineRule="exact"/>
        <w:ind w:left="709" w:right="360" w:hanging="283"/>
        <w:textAlignment w:val="baseline"/>
        <w:rPr>
          <w:rFonts w:ascii="Arial" w:eastAsia="Arial" w:hAnsi="Arial"/>
          <w:color w:val="000000"/>
          <w:sz w:val="22"/>
          <w:lang w:val="en-US"/>
        </w:rPr>
      </w:pPr>
      <w:r>
        <w:rPr>
          <w:rFonts w:ascii="Arial" w:eastAsia="Arial" w:hAnsi="Arial"/>
          <w:color w:val="000000"/>
          <w:sz w:val="22"/>
          <w:lang w:val="en-US"/>
        </w:rPr>
        <w:t>Identify, assess and document places of natural and cultural heritage significance as a basis for their inclusion in the planning scheme.</w:t>
      </w:r>
    </w:p>
    <w:p w:rsidR="006B7F7D" w:rsidRDefault="007E0E39" w:rsidP="00801DB7">
      <w:pPr>
        <w:numPr>
          <w:ilvl w:val="0"/>
          <w:numId w:val="64"/>
        </w:numPr>
        <w:tabs>
          <w:tab w:val="clear" w:pos="360"/>
          <w:tab w:val="left" w:pos="720"/>
        </w:tabs>
        <w:spacing w:before="17" w:line="252" w:lineRule="exact"/>
        <w:ind w:left="720" w:right="360" w:hanging="360"/>
        <w:textAlignment w:val="baseline"/>
        <w:rPr>
          <w:rFonts w:ascii="Arial" w:eastAsia="Arial" w:hAnsi="Arial"/>
          <w:color w:val="000000"/>
          <w:sz w:val="22"/>
          <w:lang w:val="en-US"/>
        </w:rPr>
      </w:pPr>
      <w:r w:rsidRPr="009C6BCC">
        <w:rPr>
          <w:rFonts w:ascii="Arial" w:eastAsia="Arial" w:hAnsi="Arial"/>
          <w:color w:val="000000"/>
          <w:sz w:val="22"/>
          <w:lang w:val="en-US"/>
        </w:rPr>
        <w:t>Provide for the conservation and enhancement of those places which are of, aesthetic, archaeological, architectural, cultural, scie</w:t>
      </w:r>
      <w:r w:rsidR="009C6BCC">
        <w:rPr>
          <w:rFonts w:ascii="Arial" w:eastAsia="Arial" w:hAnsi="Arial"/>
          <w:color w:val="000000"/>
          <w:sz w:val="22"/>
          <w:lang w:val="en-US"/>
        </w:rPr>
        <w:t>ntific, or social significance.</w:t>
      </w:r>
    </w:p>
    <w:p w:rsidR="007A4141" w:rsidRDefault="001F4836" w:rsidP="00801DB7">
      <w:pPr>
        <w:numPr>
          <w:ilvl w:val="0"/>
          <w:numId w:val="64"/>
        </w:numPr>
        <w:tabs>
          <w:tab w:val="clear" w:pos="360"/>
          <w:tab w:val="left" w:pos="720"/>
        </w:tabs>
        <w:spacing w:before="17" w:line="252" w:lineRule="exact"/>
        <w:ind w:left="720" w:right="360" w:hanging="360"/>
        <w:textAlignment w:val="baseline"/>
        <w:rPr>
          <w:rFonts w:ascii="Arial" w:eastAsia="Arial" w:hAnsi="Arial"/>
          <w:color w:val="000000"/>
          <w:sz w:val="22"/>
          <w:lang w:val="en-US"/>
        </w:rPr>
      </w:pPr>
      <w:r>
        <w:rPr>
          <w:rFonts w:ascii="Arial" w:eastAsia="Arial" w:hAnsi="Arial"/>
          <w:color w:val="000000"/>
          <w:sz w:val="22"/>
          <w:lang w:val="en-US"/>
        </w:rPr>
        <w:t>Encourage</w:t>
      </w:r>
      <w:r w:rsidR="007A4141">
        <w:rPr>
          <w:rFonts w:ascii="Arial" w:eastAsia="Arial" w:hAnsi="Arial"/>
          <w:color w:val="000000"/>
          <w:sz w:val="22"/>
          <w:lang w:val="en-US"/>
        </w:rPr>
        <w:t xml:space="preserve"> appropriate development that respec</w:t>
      </w:r>
      <w:r>
        <w:rPr>
          <w:rFonts w:ascii="Arial" w:eastAsia="Arial" w:hAnsi="Arial"/>
          <w:color w:val="000000"/>
          <w:sz w:val="22"/>
          <w:lang w:val="en-US"/>
        </w:rPr>
        <w:t>ts places with identified heritage values.</w:t>
      </w:r>
    </w:p>
    <w:p w:rsidR="001F4836" w:rsidRDefault="001F4836" w:rsidP="00801DB7">
      <w:pPr>
        <w:numPr>
          <w:ilvl w:val="0"/>
          <w:numId w:val="64"/>
        </w:numPr>
        <w:tabs>
          <w:tab w:val="clear" w:pos="360"/>
          <w:tab w:val="left" w:pos="720"/>
        </w:tabs>
        <w:spacing w:before="17" w:line="252" w:lineRule="exact"/>
        <w:ind w:left="720" w:right="360" w:hanging="360"/>
        <w:textAlignment w:val="baseline"/>
        <w:rPr>
          <w:rFonts w:ascii="Arial" w:eastAsia="Arial" w:hAnsi="Arial"/>
          <w:color w:val="000000"/>
          <w:sz w:val="22"/>
          <w:lang w:val="en-US"/>
        </w:rPr>
      </w:pPr>
      <w:r>
        <w:rPr>
          <w:rFonts w:ascii="Arial" w:eastAsia="Arial" w:hAnsi="Arial"/>
          <w:color w:val="000000"/>
          <w:sz w:val="22"/>
          <w:lang w:val="en-US"/>
        </w:rPr>
        <w:t>Ensure an appropriate setting and context for heritage places is maintained or enhanced.</w:t>
      </w:r>
    </w:p>
    <w:p w:rsidR="009C6BCC" w:rsidRPr="009C6BCC" w:rsidRDefault="009C6BCC" w:rsidP="00801DB7">
      <w:pPr>
        <w:tabs>
          <w:tab w:val="left" w:pos="720"/>
        </w:tabs>
        <w:spacing w:before="17" w:line="252" w:lineRule="exact"/>
        <w:ind w:left="360" w:right="360"/>
        <w:textAlignment w:val="baseline"/>
        <w:rPr>
          <w:rFonts w:ascii="Arial" w:eastAsia="Arial" w:hAnsi="Arial"/>
          <w:color w:val="000000"/>
          <w:sz w:val="22"/>
          <w:lang w:val="en-US"/>
        </w:rPr>
      </w:pPr>
    </w:p>
    <w:p w:rsidR="00E401A9" w:rsidRPr="007E0E39" w:rsidRDefault="00E401A9" w:rsidP="00F84C8A">
      <w:pPr>
        <w:pStyle w:val="Heading2"/>
        <w:spacing w:before="240" w:after="240"/>
        <w:jc w:val="left"/>
        <w:rPr>
          <w:rFonts w:cs="Arial"/>
          <w:sz w:val="22"/>
          <w:szCs w:val="22"/>
        </w:rPr>
      </w:pPr>
      <w:r w:rsidRPr="007E0E39">
        <w:rPr>
          <w:rFonts w:cs="Arial"/>
          <w:sz w:val="22"/>
          <w:szCs w:val="22"/>
        </w:rPr>
        <w:t>How does the Amendment support or implement the Local Planning Policy Framework, and specifically the Municipal Strategic Statement?</w:t>
      </w:r>
    </w:p>
    <w:p w:rsidR="00F5762E" w:rsidRDefault="001F4836" w:rsidP="00C2674A">
      <w:pPr>
        <w:spacing w:before="127" w:line="250" w:lineRule="exact"/>
        <w:ind w:right="144"/>
        <w:textAlignment w:val="baseline"/>
        <w:rPr>
          <w:rFonts w:ascii="Arial" w:eastAsia="Arial" w:hAnsi="Arial"/>
          <w:color w:val="000000"/>
        </w:rPr>
      </w:pPr>
      <w:r w:rsidRPr="0032128C">
        <w:rPr>
          <w:rFonts w:ascii="Arial" w:eastAsia="Arial" w:hAnsi="Arial"/>
          <w:color w:val="000000"/>
          <w:sz w:val="22"/>
          <w:lang w:val="en-US"/>
        </w:rPr>
        <w:t>The Local Planning Policy Framework (LPPF) recognises the contribution heritage places make to the</w:t>
      </w:r>
      <w:r>
        <w:rPr>
          <w:rFonts w:ascii="Arial" w:eastAsia="Arial" w:hAnsi="Arial"/>
          <w:color w:val="000000"/>
          <w:sz w:val="22"/>
          <w:lang w:val="en-US"/>
        </w:rPr>
        <w:t xml:space="preserve"> </w:t>
      </w:r>
      <w:r w:rsidRPr="0032128C">
        <w:rPr>
          <w:rFonts w:ascii="Arial" w:eastAsia="Arial" w:hAnsi="Arial"/>
          <w:color w:val="000000"/>
          <w:sz w:val="22"/>
          <w:lang w:val="en-US"/>
        </w:rPr>
        <w:t>character of the City and the need for conservation of these heritage places</w:t>
      </w:r>
      <w:r>
        <w:rPr>
          <w:rFonts w:ascii="Arial" w:eastAsia="Arial" w:hAnsi="Arial"/>
          <w:color w:val="000000"/>
          <w:sz w:val="22"/>
          <w:lang w:val="en-US"/>
        </w:rPr>
        <w:t xml:space="preserve">  The amendment will achieve the objectives of the </w:t>
      </w:r>
      <w:r w:rsidR="00F5762E">
        <w:rPr>
          <w:rFonts w:ascii="Arial" w:eastAsia="Arial" w:hAnsi="Arial"/>
          <w:color w:val="000000"/>
          <w:sz w:val="22"/>
          <w:lang w:val="en-US"/>
        </w:rPr>
        <w:t>Local Planning Policy Framework including:</w:t>
      </w:r>
    </w:p>
    <w:p w:rsidR="00F5762E" w:rsidRPr="00C2674A" w:rsidRDefault="00F5762E" w:rsidP="00C2674A">
      <w:pPr>
        <w:spacing w:before="121" w:line="254" w:lineRule="exact"/>
        <w:textAlignment w:val="baseline"/>
        <w:rPr>
          <w:rFonts w:ascii="Arial" w:eastAsia="Arial" w:hAnsi="Arial"/>
          <w:color w:val="000000"/>
        </w:rPr>
      </w:pPr>
      <w:r>
        <w:rPr>
          <w:rFonts w:ascii="Arial" w:eastAsia="Arial" w:hAnsi="Arial"/>
          <w:color w:val="000000"/>
          <w:sz w:val="22"/>
          <w:lang w:val="en-US"/>
        </w:rPr>
        <w:lastRenderedPageBreak/>
        <w:t xml:space="preserve">Clause 21.03-1 </w:t>
      </w:r>
      <w:r w:rsidR="002337C9">
        <w:rPr>
          <w:rFonts w:ascii="Arial" w:eastAsia="Arial" w:hAnsi="Arial"/>
          <w:color w:val="000000"/>
          <w:sz w:val="22"/>
          <w:lang w:val="en-US"/>
        </w:rPr>
        <w:t xml:space="preserve">Cultural Heritage </w:t>
      </w:r>
      <w:r w:rsidR="00C2674A">
        <w:rPr>
          <w:rFonts w:ascii="Arial" w:eastAsia="Arial" w:hAnsi="Arial"/>
          <w:color w:val="000000"/>
          <w:sz w:val="22"/>
          <w:lang w:val="en-US"/>
        </w:rPr>
        <w:t>Objectives and Strategies</w:t>
      </w:r>
      <w:r w:rsidR="001F4836">
        <w:rPr>
          <w:rFonts w:ascii="Arial" w:eastAsia="Arial" w:hAnsi="Arial"/>
          <w:color w:val="000000"/>
          <w:sz w:val="22"/>
          <w:lang w:val="en-US"/>
        </w:rPr>
        <w:t xml:space="preserve"> of the Municipal Strategic Statement</w:t>
      </w:r>
      <w:r w:rsidR="00C2674A">
        <w:rPr>
          <w:rFonts w:ascii="Arial" w:eastAsia="Arial" w:hAnsi="Arial"/>
          <w:color w:val="000000"/>
          <w:sz w:val="22"/>
          <w:lang w:val="en-US"/>
        </w:rPr>
        <w:t xml:space="preserve">: </w:t>
      </w:r>
      <w:r w:rsidRPr="00C2674A">
        <w:rPr>
          <w:rFonts w:ascii="Arial" w:eastAsia="Arial" w:hAnsi="Arial"/>
          <w:color w:val="000000"/>
          <w:sz w:val="22"/>
          <w:lang w:val="en-US"/>
        </w:rPr>
        <w:t>to protect, conserve and enhance places and precincts that contribute to Banyule’s cultural heritage</w:t>
      </w:r>
      <w:r w:rsidR="00C2674A" w:rsidRPr="00C2674A">
        <w:rPr>
          <w:rFonts w:ascii="Arial" w:eastAsia="Arial" w:hAnsi="Arial"/>
          <w:color w:val="000000"/>
          <w:sz w:val="22"/>
          <w:lang w:val="en-US"/>
        </w:rPr>
        <w:t>.</w:t>
      </w:r>
    </w:p>
    <w:p w:rsidR="00D4629C" w:rsidRPr="00E71F3F" w:rsidRDefault="00F5762E" w:rsidP="00E71F3F">
      <w:pPr>
        <w:spacing w:before="116" w:line="252" w:lineRule="exact"/>
        <w:textAlignment w:val="baseline"/>
        <w:rPr>
          <w:rFonts w:ascii="Arial" w:eastAsia="Arial" w:hAnsi="Arial"/>
          <w:color w:val="000000"/>
        </w:rPr>
      </w:pPr>
      <w:r>
        <w:rPr>
          <w:rFonts w:ascii="Arial" w:eastAsia="Arial" w:hAnsi="Arial"/>
          <w:color w:val="000000"/>
          <w:sz w:val="22"/>
          <w:lang w:val="en-US"/>
        </w:rPr>
        <w:t>Clause 22.</w:t>
      </w:r>
      <w:r w:rsidR="002337C9">
        <w:rPr>
          <w:rFonts w:ascii="Arial" w:eastAsia="Arial" w:hAnsi="Arial"/>
          <w:color w:val="000000"/>
          <w:sz w:val="22"/>
          <w:lang w:val="en-US"/>
        </w:rPr>
        <w:t>06</w:t>
      </w:r>
      <w:r>
        <w:rPr>
          <w:rFonts w:ascii="Arial" w:eastAsia="Arial" w:hAnsi="Arial"/>
          <w:color w:val="000000"/>
          <w:sz w:val="22"/>
          <w:lang w:val="en-US"/>
        </w:rPr>
        <w:t xml:space="preserve"> Cultural Heritage </w:t>
      </w:r>
      <w:r w:rsidR="00C2674A">
        <w:rPr>
          <w:rFonts w:ascii="Arial" w:eastAsia="Arial" w:hAnsi="Arial"/>
          <w:color w:val="000000"/>
          <w:sz w:val="22"/>
          <w:lang w:val="en-US"/>
        </w:rPr>
        <w:t xml:space="preserve">Conservation Policy.  This policy </w:t>
      </w:r>
      <w:r>
        <w:rPr>
          <w:rFonts w:ascii="Arial" w:eastAsia="Arial" w:hAnsi="Arial"/>
          <w:color w:val="000000"/>
          <w:sz w:val="22"/>
          <w:lang w:val="en-US"/>
        </w:rPr>
        <w:t>applies to all properties</w:t>
      </w:r>
      <w:r w:rsidR="00C2674A">
        <w:rPr>
          <w:rFonts w:ascii="Arial" w:eastAsia="Arial" w:hAnsi="Arial"/>
          <w:color w:val="000000"/>
          <w:sz w:val="22"/>
          <w:lang w:val="en-US"/>
        </w:rPr>
        <w:t xml:space="preserve"> affected by a Heritage Overlay</w:t>
      </w:r>
      <w:r w:rsidR="001F4836">
        <w:rPr>
          <w:rFonts w:ascii="Arial" w:eastAsia="Arial" w:hAnsi="Arial"/>
          <w:color w:val="000000"/>
          <w:sz w:val="22"/>
          <w:lang w:val="en-US"/>
        </w:rPr>
        <w:t xml:space="preserve"> in Banyule</w:t>
      </w:r>
      <w:r w:rsidR="00C2674A">
        <w:rPr>
          <w:rFonts w:ascii="Arial" w:eastAsia="Arial" w:hAnsi="Arial"/>
          <w:color w:val="000000"/>
          <w:sz w:val="22"/>
          <w:lang w:val="en-US"/>
        </w:rPr>
        <w:t xml:space="preserve">.  </w:t>
      </w:r>
      <w:r>
        <w:rPr>
          <w:rFonts w:ascii="Arial" w:eastAsia="Arial" w:hAnsi="Arial"/>
          <w:color w:val="000000"/>
          <w:sz w:val="22"/>
          <w:lang w:val="en-US"/>
        </w:rPr>
        <w:t>This amendment will help achieve the Council’s cultural heritage objectives and implement the strategies identified in Clause 22.0</w:t>
      </w:r>
      <w:r w:rsidR="002337C9">
        <w:rPr>
          <w:rFonts w:ascii="Arial" w:eastAsia="Arial" w:hAnsi="Arial"/>
          <w:color w:val="000000"/>
          <w:sz w:val="22"/>
          <w:lang w:val="en-US"/>
        </w:rPr>
        <w:t>6</w:t>
      </w:r>
      <w:r>
        <w:rPr>
          <w:rFonts w:ascii="Arial" w:eastAsia="Arial" w:hAnsi="Arial"/>
          <w:color w:val="000000"/>
          <w:sz w:val="22"/>
          <w:lang w:val="en-US"/>
        </w:rPr>
        <w:t>.</w:t>
      </w:r>
    </w:p>
    <w:p w:rsidR="00E401A9" w:rsidRPr="007E0E39" w:rsidRDefault="00E401A9" w:rsidP="00F84C8A">
      <w:pPr>
        <w:pStyle w:val="Heading2"/>
        <w:spacing w:before="240" w:after="240"/>
        <w:jc w:val="left"/>
        <w:rPr>
          <w:rFonts w:cs="Arial"/>
          <w:sz w:val="22"/>
          <w:szCs w:val="22"/>
        </w:rPr>
      </w:pPr>
      <w:r w:rsidRPr="007E0E39">
        <w:rPr>
          <w:rFonts w:cs="Arial"/>
          <w:sz w:val="22"/>
          <w:szCs w:val="22"/>
        </w:rPr>
        <w:t>Does the Amendment make proper use of the Victoria Planning Provisions?</w:t>
      </w:r>
    </w:p>
    <w:p w:rsidR="002337C9" w:rsidRDefault="002337C9" w:rsidP="00C2674A">
      <w:pPr>
        <w:spacing w:before="286" w:line="253" w:lineRule="exact"/>
        <w:ind w:right="144"/>
        <w:textAlignment w:val="baseline"/>
        <w:rPr>
          <w:rFonts w:ascii="Arial" w:eastAsia="Arial" w:hAnsi="Arial"/>
          <w:color w:val="000000"/>
        </w:rPr>
      </w:pPr>
      <w:r>
        <w:rPr>
          <w:rFonts w:ascii="Arial" w:eastAsia="Arial" w:hAnsi="Arial"/>
          <w:color w:val="000000"/>
          <w:sz w:val="22"/>
          <w:lang w:val="en-US"/>
        </w:rPr>
        <w:t>The Heritage Overlay is the appropriate Victoria Planning Provision (VPP) to protect pl</w:t>
      </w:r>
      <w:r w:rsidR="0090146C">
        <w:rPr>
          <w:rFonts w:ascii="Arial" w:eastAsia="Arial" w:hAnsi="Arial"/>
          <w:color w:val="000000"/>
          <w:sz w:val="22"/>
          <w:lang w:val="en-US"/>
        </w:rPr>
        <w:t xml:space="preserve">aces of heritage significance. </w:t>
      </w:r>
    </w:p>
    <w:p w:rsidR="00E401A9" w:rsidRPr="007E0E39" w:rsidRDefault="00E401A9" w:rsidP="00F84C8A">
      <w:pPr>
        <w:pStyle w:val="Heading2"/>
        <w:spacing w:before="240" w:after="240"/>
        <w:jc w:val="left"/>
        <w:rPr>
          <w:rFonts w:cs="Arial"/>
          <w:sz w:val="22"/>
          <w:szCs w:val="22"/>
        </w:rPr>
      </w:pPr>
      <w:r w:rsidRPr="007E0E39">
        <w:rPr>
          <w:rFonts w:cs="Arial"/>
          <w:sz w:val="22"/>
          <w:szCs w:val="22"/>
        </w:rPr>
        <w:t>How does the Amendment address the views of any relevant agency?</w:t>
      </w:r>
    </w:p>
    <w:p w:rsidR="002337C9" w:rsidRDefault="002337C9" w:rsidP="002337C9">
      <w:pPr>
        <w:spacing w:before="117" w:line="254" w:lineRule="exact"/>
        <w:ind w:right="360"/>
        <w:textAlignment w:val="baseline"/>
        <w:rPr>
          <w:rFonts w:ascii="Arial" w:eastAsia="Arial" w:hAnsi="Arial"/>
          <w:color w:val="000000"/>
        </w:rPr>
      </w:pPr>
      <w:r>
        <w:rPr>
          <w:rFonts w:ascii="Arial" w:eastAsia="Arial" w:hAnsi="Arial"/>
          <w:color w:val="000000"/>
          <w:sz w:val="22"/>
          <w:lang w:val="en-US"/>
        </w:rPr>
        <w:t>The views of relevant agencies will be considered through the amendment process</w:t>
      </w:r>
      <w:r w:rsidR="0090146C">
        <w:rPr>
          <w:rFonts w:ascii="Arial" w:eastAsia="Arial" w:hAnsi="Arial"/>
          <w:color w:val="000000"/>
          <w:sz w:val="22"/>
          <w:lang w:val="en-US"/>
        </w:rPr>
        <w:t>.</w:t>
      </w:r>
    </w:p>
    <w:p w:rsidR="00E401A9" w:rsidRPr="007E0E39" w:rsidRDefault="00E401A9" w:rsidP="00F84C8A">
      <w:pPr>
        <w:pStyle w:val="Heading2"/>
        <w:spacing w:before="240" w:after="240"/>
        <w:jc w:val="left"/>
        <w:rPr>
          <w:rFonts w:cs="Arial"/>
          <w:sz w:val="22"/>
          <w:szCs w:val="22"/>
        </w:rPr>
      </w:pPr>
      <w:r w:rsidRPr="007E0E39">
        <w:rPr>
          <w:rFonts w:cs="Arial"/>
          <w:sz w:val="22"/>
          <w:szCs w:val="22"/>
        </w:rPr>
        <w:t>Does the Amendment address relevant requirements of the Transport Integration Act 2010?</w:t>
      </w:r>
    </w:p>
    <w:p w:rsidR="004666CF" w:rsidRPr="002337C9" w:rsidRDefault="002337C9" w:rsidP="004666CF">
      <w:pPr>
        <w:rPr>
          <w:rFonts w:ascii="Arial" w:hAnsi="Arial" w:cs="Arial"/>
          <w:sz w:val="22"/>
          <w:szCs w:val="22"/>
        </w:rPr>
      </w:pPr>
      <w:r w:rsidRPr="002337C9">
        <w:rPr>
          <w:rFonts w:ascii="Arial" w:hAnsi="Arial" w:cs="Arial"/>
          <w:sz w:val="22"/>
          <w:szCs w:val="22"/>
        </w:rPr>
        <w:t>The amendment does not impact the Transport Integration Act 2010.</w:t>
      </w:r>
    </w:p>
    <w:p w:rsidR="00E401A9" w:rsidRPr="007E0E39" w:rsidRDefault="00E401A9" w:rsidP="00F84C8A">
      <w:pPr>
        <w:pStyle w:val="Heading2"/>
        <w:spacing w:before="240" w:after="240"/>
        <w:jc w:val="left"/>
        <w:rPr>
          <w:rFonts w:cs="Arial"/>
          <w:sz w:val="22"/>
          <w:szCs w:val="22"/>
        </w:rPr>
      </w:pPr>
      <w:r w:rsidRPr="007E0E39">
        <w:rPr>
          <w:rFonts w:cs="Arial"/>
          <w:sz w:val="22"/>
          <w:szCs w:val="22"/>
        </w:rPr>
        <w:t>Resource and administrative costs</w:t>
      </w:r>
    </w:p>
    <w:p w:rsidR="00E401A9" w:rsidRPr="007E0E39" w:rsidRDefault="00E401A9" w:rsidP="00E401A9">
      <w:pPr>
        <w:pStyle w:val="Heading3"/>
        <w:jc w:val="left"/>
        <w:rPr>
          <w:rFonts w:ascii="Arial" w:hAnsi="Arial" w:cs="Arial"/>
          <w:sz w:val="22"/>
          <w:szCs w:val="22"/>
        </w:rPr>
      </w:pPr>
      <w:r w:rsidRPr="007E0E39">
        <w:rPr>
          <w:rFonts w:ascii="Arial" w:hAnsi="Arial" w:cs="Arial"/>
          <w:sz w:val="22"/>
          <w:szCs w:val="22"/>
        </w:rPr>
        <w:t>What impact will the new planning provisions have on the resource and administrative costs of the responsible authority?</w:t>
      </w:r>
    </w:p>
    <w:p w:rsidR="002337C9" w:rsidRDefault="002337C9" w:rsidP="00C2674A">
      <w:pPr>
        <w:spacing w:before="398" w:line="250" w:lineRule="exact"/>
        <w:textAlignment w:val="baseline"/>
        <w:rPr>
          <w:rFonts w:ascii="Arial" w:eastAsia="Arial" w:hAnsi="Arial"/>
          <w:color w:val="000000"/>
        </w:rPr>
      </w:pPr>
      <w:r>
        <w:rPr>
          <w:rFonts w:ascii="Arial" w:eastAsia="Arial" w:hAnsi="Arial"/>
          <w:color w:val="000000"/>
          <w:sz w:val="22"/>
          <w:lang w:val="en-US"/>
        </w:rPr>
        <w:t>The amendment will have a negligible impact on the resource and administrative costs of the responsible authority.</w:t>
      </w:r>
    </w:p>
    <w:p w:rsidR="00E401A9" w:rsidRPr="007E0E39" w:rsidRDefault="00E401A9" w:rsidP="00F84C8A">
      <w:pPr>
        <w:pStyle w:val="Heading2"/>
        <w:spacing w:before="240" w:after="240"/>
        <w:jc w:val="left"/>
        <w:rPr>
          <w:rFonts w:cs="Arial"/>
          <w:sz w:val="22"/>
          <w:szCs w:val="22"/>
        </w:rPr>
      </w:pPr>
      <w:r w:rsidRPr="007E0E39">
        <w:rPr>
          <w:rFonts w:cs="Arial"/>
          <w:sz w:val="22"/>
          <w:szCs w:val="22"/>
        </w:rPr>
        <w:t>Where you may inspect this Amendment</w:t>
      </w:r>
    </w:p>
    <w:p w:rsidR="00E401A9" w:rsidRDefault="00E401A9" w:rsidP="00E401A9">
      <w:pPr>
        <w:jc w:val="left"/>
        <w:rPr>
          <w:rFonts w:ascii="Arial" w:hAnsi="Arial" w:cs="Arial"/>
          <w:sz w:val="22"/>
          <w:szCs w:val="22"/>
        </w:rPr>
      </w:pPr>
      <w:r w:rsidRPr="007E0E39">
        <w:rPr>
          <w:rFonts w:ascii="Arial" w:hAnsi="Arial" w:cs="Arial"/>
          <w:sz w:val="22"/>
          <w:szCs w:val="22"/>
        </w:rPr>
        <w:t>The Amendment is available for public inspection, free of charge, during office hours at the following places:</w:t>
      </w:r>
    </w:p>
    <w:p w:rsidR="00E23FA5" w:rsidRDefault="00E23FA5" w:rsidP="00E401A9">
      <w:pPr>
        <w:jc w:val="left"/>
        <w:rPr>
          <w:rFonts w:ascii="Arial" w:hAnsi="Arial" w:cs="Arial"/>
          <w:sz w:val="22"/>
          <w:szCs w:val="22"/>
        </w:rPr>
      </w:pPr>
    </w:p>
    <w:tbl>
      <w:tblPr>
        <w:tblW w:w="0" w:type="auto"/>
        <w:tblLook w:val="04A0" w:firstRow="1" w:lastRow="0" w:firstColumn="1" w:lastColumn="0" w:noHBand="0" w:noVBand="1"/>
      </w:tblPr>
      <w:tblGrid>
        <w:gridCol w:w="2770"/>
        <w:gridCol w:w="3167"/>
        <w:gridCol w:w="3107"/>
      </w:tblGrid>
      <w:tr w:rsidR="00563DB8" w:rsidRPr="00563DB8" w:rsidTr="00563DB8">
        <w:tc>
          <w:tcPr>
            <w:tcW w:w="2802" w:type="dxa"/>
            <w:shd w:val="clear" w:color="auto" w:fill="auto"/>
          </w:tcPr>
          <w:p w:rsidR="00E23FA5" w:rsidRPr="00563DB8" w:rsidRDefault="00E23FA5" w:rsidP="00563DB8">
            <w:pPr>
              <w:spacing w:before="0"/>
              <w:jc w:val="left"/>
              <w:rPr>
                <w:rFonts w:ascii="Arial" w:hAnsi="Arial" w:cs="Arial"/>
                <w:sz w:val="22"/>
                <w:szCs w:val="22"/>
              </w:rPr>
            </w:pPr>
            <w:r w:rsidRPr="00563DB8">
              <w:rPr>
                <w:rFonts w:ascii="Arial" w:hAnsi="Arial" w:cs="Arial"/>
                <w:sz w:val="22"/>
                <w:szCs w:val="22"/>
              </w:rPr>
              <w:t>Banyule City Council</w:t>
            </w:r>
          </w:p>
          <w:p w:rsidR="00E23FA5" w:rsidRPr="00563DB8" w:rsidRDefault="00E23FA5" w:rsidP="00563DB8">
            <w:pPr>
              <w:spacing w:before="0"/>
              <w:jc w:val="left"/>
              <w:rPr>
                <w:rFonts w:ascii="Arial" w:hAnsi="Arial" w:cs="Arial"/>
                <w:sz w:val="22"/>
                <w:szCs w:val="22"/>
              </w:rPr>
            </w:pPr>
            <w:r w:rsidRPr="00563DB8">
              <w:rPr>
                <w:rFonts w:ascii="Arial" w:hAnsi="Arial" w:cs="Arial"/>
                <w:sz w:val="22"/>
                <w:szCs w:val="22"/>
              </w:rPr>
              <w:t>Level 3, 1 Flintoff Street</w:t>
            </w:r>
          </w:p>
          <w:p w:rsidR="00E23FA5" w:rsidRPr="00563DB8" w:rsidRDefault="00E23FA5" w:rsidP="00563DB8">
            <w:pPr>
              <w:spacing w:before="0"/>
              <w:jc w:val="left"/>
              <w:rPr>
                <w:rFonts w:ascii="Arial" w:hAnsi="Arial" w:cs="Arial"/>
                <w:sz w:val="22"/>
                <w:szCs w:val="22"/>
              </w:rPr>
            </w:pPr>
            <w:r w:rsidRPr="00563DB8">
              <w:rPr>
                <w:rFonts w:ascii="Arial" w:hAnsi="Arial" w:cs="Arial"/>
                <w:sz w:val="22"/>
                <w:szCs w:val="22"/>
              </w:rPr>
              <w:t>Greensborough</w:t>
            </w:r>
          </w:p>
          <w:p w:rsidR="00E23FA5" w:rsidRPr="00563DB8" w:rsidRDefault="00E23FA5" w:rsidP="00563DB8">
            <w:pPr>
              <w:spacing w:before="0"/>
              <w:jc w:val="left"/>
              <w:rPr>
                <w:rFonts w:ascii="Arial" w:hAnsi="Arial" w:cs="Arial"/>
                <w:color w:val="A6A6A6"/>
                <w:sz w:val="22"/>
                <w:szCs w:val="22"/>
                <w:lang w:val="en-GB"/>
              </w:rPr>
            </w:pPr>
            <w:r w:rsidRPr="00563DB8">
              <w:rPr>
                <w:rFonts w:ascii="Arial" w:hAnsi="Arial" w:cs="Arial"/>
                <w:sz w:val="22"/>
                <w:szCs w:val="22"/>
              </w:rPr>
              <w:t>(above Watermarc)</w:t>
            </w:r>
          </w:p>
        </w:tc>
        <w:tc>
          <w:tcPr>
            <w:tcW w:w="3260" w:type="dxa"/>
            <w:shd w:val="clear" w:color="auto" w:fill="auto"/>
          </w:tcPr>
          <w:p w:rsidR="00E23FA5" w:rsidRPr="00563DB8" w:rsidRDefault="00E23FA5" w:rsidP="00563DB8">
            <w:pPr>
              <w:spacing w:before="0"/>
              <w:jc w:val="left"/>
              <w:rPr>
                <w:rFonts w:ascii="Arial" w:hAnsi="Arial" w:cs="Arial"/>
                <w:sz w:val="22"/>
                <w:szCs w:val="22"/>
              </w:rPr>
            </w:pPr>
          </w:p>
        </w:tc>
        <w:tc>
          <w:tcPr>
            <w:tcW w:w="3198" w:type="dxa"/>
            <w:shd w:val="clear" w:color="auto" w:fill="auto"/>
          </w:tcPr>
          <w:p w:rsidR="00E23FA5" w:rsidRPr="00563DB8" w:rsidRDefault="00E23FA5" w:rsidP="00563DB8">
            <w:pPr>
              <w:spacing w:before="0"/>
              <w:jc w:val="left"/>
              <w:rPr>
                <w:rFonts w:ascii="Arial" w:hAnsi="Arial" w:cs="Arial"/>
                <w:sz w:val="22"/>
                <w:szCs w:val="22"/>
              </w:rPr>
            </w:pPr>
          </w:p>
        </w:tc>
      </w:tr>
    </w:tbl>
    <w:p w:rsidR="00E23FA5" w:rsidRPr="007E0E39" w:rsidRDefault="00E23FA5" w:rsidP="00E401A9">
      <w:pPr>
        <w:jc w:val="left"/>
        <w:rPr>
          <w:rFonts w:ascii="Arial" w:hAnsi="Arial" w:cs="Arial"/>
          <w:sz w:val="22"/>
          <w:szCs w:val="22"/>
        </w:rPr>
      </w:pPr>
    </w:p>
    <w:p w:rsidR="00E401A9" w:rsidRPr="007E0E39" w:rsidRDefault="00E401A9" w:rsidP="00E401A9">
      <w:pPr>
        <w:jc w:val="left"/>
        <w:rPr>
          <w:rFonts w:ascii="Arial" w:hAnsi="Arial" w:cs="Arial"/>
          <w:sz w:val="22"/>
          <w:szCs w:val="22"/>
        </w:rPr>
      </w:pPr>
      <w:r w:rsidRPr="007E0E39">
        <w:rPr>
          <w:rFonts w:ascii="Arial" w:hAnsi="Arial" w:cs="Arial"/>
          <w:sz w:val="22"/>
          <w:szCs w:val="22"/>
        </w:rPr>
        <w:t xml:space="preserve">The Amendment can also be inspected free of charge at the Department of Environment, Land, Water and Planning website at  </w:t>
      </w:r>
      <w:hyperlink r:id="rId8" w:history="1">
        <w:r w:rsidRPr="007E0E39">
          <w:rPr>
            <w:rStyle w:val="Hyperlink"/>
            <w:rFonts w:ascii="Arial" w:hAnsi="Arial" w:cs="Arial"/>
            <w:sz w:val="22"/>
            <w:szCs w:val="22"/>
            <w:lang w:val="en"/>
          </w:rPr>
          <w:t>www.delwp.vic.gov.au/public-inspection</w:t>
        </w:r>
        <w:r w:rsidRPr="007E0E39">
          <w:rPr>
            <w:rStyle w:val="Hyperlink"/>
            <w:rFonts w:ascii="Arial" w:hAnsi="Arial" w:cs="Arial"/>
            <w:sz w:val="22"/>
            <w:szCs w:val="22"/>
          </w:rPr>
          <w:t>.</w:t>
        </w:r>
      </w:hyperlink>
    </w:p>
    <w:p w:rsidR="0090146C" w:rsidRPr="00F04679" w:rsidRDefault="0090146C" w:rsidP="0090146C">
      <w:pPr>
        <w:pStyle w:val="Heading2"/>
        <w:spacing w:before="240" w:after="240"/>
        <w:rPr>
          <w:rFonts w:cs="Arial"/>
          <w:sz w:val="22"/>
          <w:szCs w:val="22"/>
        </w:rPr>
      </w:pPr>
      <w:r w:rsidRPr="00F04679">
        <w:rPr>
          <w:rFonts w:cs="Arial"/>
          <w:sz w:val="22"/>
          <w:szCs w:val="22"/>
        </w:rPr>
        <w:t xml:space="preserve">Submissions </w:t>
      </w:r>
    </w:p>
    <w:p w:rsidR="0090146C" w:rsidRDefault="0090146C" w:rsidP="0090146C">
      <w:pPr>
        <w:rPr>
          <w:rFonts w:ascii="Arial" w:hAnsi="Arial" w:cs="Arial"/>
          <w:sz w:val="22"/>
          <w:szCs w:val="22"/>
        </w:rPr>
      </w:pPr>
      <w:r w:rsidRPr="00F04679">
        <w:rPr>
          <w:rFonts w:ascii="Arial" w:hAnsi="Arial" w:cs="Arial"/>
          <w:sz w:val="22"/>
          <w:szCs w:val="22"/>
        </w:rPr>
        <w:t>Any person who may be affected by the Amendment may make a submission to the planning authority.  Submissions about the Amendment must be received by</w:t>
      </w:r>
      <w:r>
        <w:rPr>
          <w:rFonts w:ascii="Arial" w:hAnsi="Arial" w:cs="Arial"/>
          <w:sz w:val="22"/>
          <w:szCs w:val="22"/>
        </w:rPr>
        <w:t xml:space="preserve"> </w:t>
      </w:r>
      <w:r w:rsidR="006A136D">
        <w:rPr>
          <w:rFonts w:ascii="Arial" w:hAnsi="Arial" w:cs="Arial"/>
          <w:sz w:val="22"/>
          <w:szCs w:val="22"/>
        </w:rPr>
        <w:t>15</w:t>
      </w:r>
      <w:r w:rsidR="00E71F3F">
        <w:rPr>
          <w:rFonts w:ascii="Arial" w:hAnsi="Arial" w:cs="Arial"/>
          <w:sz w:val="22"/>
          <w:szCs w:val="22"/>
        </w:rPr>
        <w:t xml:space="preserve"> January 2019.</w:t>
      </w:r>
    </w:p>
    <w:p w:rsidR="0090146C" w:rsidRDefault="0090146C" w:rsidP="0090146C">
      <w:pPr>
        <w:rPr>
          <w:rFonts w:ascii="Arial" w:hAnsi="Arial" w:cs="Arial"/>
          <w:sz w:val="22"/>
          <w:szCs w:val="22"/>
        </w:rPr>
      </w:pPr>
      <w:r>
        <w:rPr>
          <w:rFonts w:ascii="Arial" w:hAnsi="Arial" w:cs="Arial"/>
          <w:sz w:val="22"/>
          <w:szCs w:val="22"/>
        </w:rPr>
        <w:t>A written submission must be sent to:</w:t>
      </w:r>
    </w:p>
    <w:p w:rsidR="0090146C" w:rsidRDefault="0090146C" w:rsidP="0090146C">
      <w:pPr>
        <w:ind w:left="284" w:hanging="284"/>
        <w:rPr>
          <w:rFonts w:ascii="Arial" w:hAnsi="Arial" w:cs="Arial"/>
          <w:sz w:val="22"/>
          <w:szCs w:val="22"/>
        </w:rPr>
      </w:pPr>
      <w:r>
        <w:rPr>
          <w:rFonts w:ascii="Arial" w:hAnsi="Arial" w:cs="Arial"/>
          <w:sz w:val="22"/>
          <w:szCs w:val="22"/>
        </w:rPr>
        <w:t>Banyule City Council</w:t>
      </w:r>
    </w:p>
    <w:p w:rsidR="0090146C" w:rsidRDefault="0090146C" w:rsidP="0090146C">
      <w:pPr>
        <w:ind w:left="284" w:hanging="284"/>
        <w:rPr>
          <w:rFonts w:ascii="Arial" w:hAnsi="Arial" w:cs="Arial"/>
          <w:sz w:val="22"/>
          <w:szCs w:val="22"/>
        </w:rPr>
      </w:pPr>
      <w:r>
        <w:rPr>
          <w:rFonts w:ascii="Arial" w:hAnsi="Arial" w:cs="Arial"/>
          <w:sz w:val="22"/>
          <w:szCs w:val="22"/>
        </w:rPr>
        <w:t xml:space="preserve">PO Box 94 </w:t>
      </w:r>
    </w:p>
    <w:p w:rsidR="0090146C" w:rsidRPr="009E7769" w:rsidRDefault="0090146C" w:rsidP="0090146C">
      <w:pPr>
        <w:ind w:left="284" w:hanging="284"/>
        <w:rPr>
          <w:rFonts w:ascii="Arial" w:hAnsi="Arial" w:cs="Arial"/>
          <w:sz w:val="22"/>
          <w:szCs w:val="22"/>
        </w:rPr>
      </w:pPr>
      <w:r>
        <w:rPr>
          <w:rFonts w:ascii="Arial" w:hAnsi="Arial" w:cs="Arial"/>
          <w:sz w:val="22"/>
          <w:szCs w:val="22"/>
        </w:rPr>
        <w:t>GREENSBOROUGH 3088</w:t>
      </w:r>
    </w:p>
    <w:p w:rsidR="0090146C" w:rsidRDefault="0090146C" w:rsidP="0090146C">
      <w:pPr>
        <w:rPr>
          <w:rFonts w:ascii="Arial" w:hAnsi="Arial" w:cs="Arial"/>
          <w:sz w:val="22"/>
          <w:szCs w:val="22"/>
        </w:rPr>
      </w:pPr>
      <w:r>
        <w:rPr>
          <w:rFonts w:ascii="Arial" w:hAnsi="Arial" w:cs="Arial"/>
          <w:sz w:val="22"/>
          <w:szCs w:val="22"/>
        </w:rPr>
        <w:t>and marked with “</w:t>
      </w:r>
      <w:r>
        <w:rPr>
          <w:rFonts w:ascii="Arial" w:hAnsi="Arial" w:cs="Arial"/>
          <w:b/>
          <w:sz w:val="22"/>
          <w:szCs w:val="22"/>
        </w:rPr>
        <w:t>Submission to C152</w:t>
      </w:r>
      <w:r w:rsidR="001F4836">
        <w:rPr>
          <w:rFonts w:ascii="Arial" w:hAnsi="Arial" w:cs="Arial"/>
          <w:b/>
          <w:sz w:val="22"/>
          <w:szCs w:val="22"/>
        </w:rPr>
        <w:t>bany</w:t>
      </w:r>
      <w:r>
        <w:rPr>
          <w:rFonts w:ascii="Arial" w:hAnsi="Arial" w:cs="Arial"/>
          <w:sz w:val="22"/>
          <w:szCs w:val="22"/>
        </w:rPr>
        <w:t>”</w:t>
      </w:r>
    </w:p>
    <w:p w:rsidR="0090146C" w:rsidRDefault="0090146C" w:rsidP="0090146C">
      <w:pPr>
        <w:rPr>
          <w:rFonts w:ascii="Arial" w:hAnsi="Arial" w:cs="Arial"/>
          <w:sz w:val="22"/>
          <w:szCs w:val="22"/>
          <w:shd w:val="clear" w:color="auto" w:fill="FFFFFF"/>
        </w:rPr>
      </w:pPr>
      <w:r>
        <w:rPr>
          <w:rFonts w:ascii="Arial" w:hAnsi="Arial" w:cs="Arial"/>
          <w:sz w:val="22"/>
          <w:szCs w:val="22"/>
        </w:rPr>
        <w:t xml:space="preserve">Alternatively, an electronic submission can be made </w:t>
      </w:r>
      <w:r>
        <w:rPr>
          <w:rFonts w:ascii="Arial" w:hAnsi="Arial" w:cs="Arial"/>
          <w:sz w:val="22"/>
          <w:szCs w:val="22"/>
          <w:shd w:val="clear" w:color="auto" w:fill="FFFFFF"/>
        </w:rPr>
        <w:t>by using the form on the Banyule City Council website at:</w:t>
      </w:r>
    </w:p>
    <w:p w:rsidR="0090146C" w:rsidRPr="00F41346" w:rsidRDefault="001F4836" w:rsidP="00F41346">
      <w:pPr>
        <w:pStyle w:val="Heading2"/>
        <w:spacing w:before="0" w:after="240"/>
        <w:rPr>
          <w:rFonts w:ascii="Verdana" w:eastAsia="Calibri" w:hAnsi="Verdana"/>
          <w:b w:val="0"/>
          <w:bCs w:val="0"/>
          <w:color w:val="FF0000"/>
          <w:sz w:val="20"/>
          <w:lang w:eastAsia="en-US"/>
        </w:rPr>
      </w:pPr>
      <w:hyperlink r:id="rId9" w:history="1">
        <w:r w:rsidR="0090146C" w:rsidRPr="009E7769">
          <w:rPr>
            <w:rStyle w:val="Hyperlink"/>
            <w:rFonts w:ascii="Verdana" w:eastAsia="Calibri" w:hAnsi="Verdana"/>
            <w:b w:val="0"/>
            <w:bCs w:val="0"/>
            <w:sz w:val="20"/>
            <w:lang w:eastAsia="en-US"/>
          </w:rPr>
          <w:t>https://shaping.banyule.vic.gov.au/</w:t>
        </w:r>
      </w:hyperlink>
    </w:p>
    <w:p w:rsidR="0090146C" w:rsidRPr="00F04679" w:rsidRDefault="0090146C" w:rsidP="0090146C">
      <w:pPr>
        <w:pStyle w:val="Heading2"/>
        <w:spacing w:before="240" w:after="240"/>
        <w:rPr>
          <w:rFonts w:cs="Arial"/>
          <w:sz w:val="22"/>
          <w:szCs w:val="22"/>
        </w:rPr>
      </w:pPr>
      <w:r w:rsidRPr="00F04679">
        <w:rPr>
          <w:rFonts w:cs="Arial"/>
          <w:sz w:val="22"/>
          <w:szCs w:val="22"/>
        </w:rPr>
        <w:t xml:space="preserve">Panel hearing dates </w:t>
      </w:r>
    </w:p>
    <w:p w:rsidR="0090146C" w:rsidRPr="00F04679" w:rsidRDefault="0090146C" w:rsidP="0090146C">
      <w:pPr>
        <w:rPr>
          <w:rFonts w:ascii="Arial" w:hAnsi="Arial" w:cs="Arial"/>
          <w:sz w:val="22"/>
          <w:szCs w:val="22"/>
        </w:rPr>
      </w:pPr>
      <w:r w:rsidRPr="00F04679">
        <w:rPr>
          <w:rFonts w:ascii="Arial" w:hAnsi="Arial" w:cs="Arial"/>
          <w:sz w:val="22"/>
          <w:szCs w:val="22"/>
        </w:rPr>
        <w:t>In accordance with clause 4(2) of Ministerial Direction No.15 the following panel hearing dates have been set for this amendment:</w:t>
      </w:r>
    </w:p>
    <w:p w:rsidR="0090146C" w:rsidRPr="00F04679" w:rsidRDefault="0090146C" w:rsidP="0090146C">
      <w:pPr>
        <w:numPr>
          <w:ilvl w:val="0"/>
          <w:numId w:val="40"/>
        </w:numPr>
        <w:spacing w:after="120"/>
        <w:ind w:left="357" w:hanging="357"/>
        <w:rPr>
          <w:rFonts w:ascii="Arial" w:hAnsi="Arial" w:cs="Arial"/>
          <w:sz w:val="22"/>
          <w:szCs w:val="22"/>
        </w:rPr>
      </w:pPr>
      <w:r w:rsidRPr="00F04679">
        <w:rPr>
          <w:rFonts w:ascii="Arial" w:hAnsi="Arial" w:cs="Arial"/>
          <w:sz w:val="22"/>
          <w:szCs w:val="22"/>
        </w:rPr>
        <w:t xml:space="preserve">directions hearing: </w:t>
      </w:r>
      <w:r w:rsidR="00801DB7">
        <w:rPr>
          <w:rFonts w:ascii="Arial" w:hAnsi="Arial" w:cs="Arial"/>
          <w:sz w:val="22"/>
          <w:szCs w:val="22"/>
        </w:rPr>
        <w:t>Week commencing 25 March 2019</w:t>
      </w:r>
    </w:p>
    <w:p w:rsidR="0090146C" w:rsidRPr="005A60D8" w:rsidRDefault="0090146C" w:rsidP="0090146C">
      <w:pPr>
        <w:numPr>
          <w:ilvl w:val="0"/>
          <w:numId w:val="40"/>
        </w:numPr>
        <w:spacing w:after="120"/>
        <w:ind w:left="357" w:hanging="357"/>
        <w:rPr>
          <w:rFonts w:ascii="Arial" w:hAnsi="Arial" w:cs="Arial"/>
          <w:sz w:val="22"/>
          <w:szCs w:val="22"/>
        </w:rPr>
      </w:pPr>
      <w:r w:rsidRPr="00F04679">
        <w:rPr>
          <w:rFonts w:ascii="Arial" w:hAnsi="Arial" w:cs="Arial"/>
          <w:sz w:val="22"/>
          <w:szCs w:val="22"/>
        </w:rPr>
        <w:t xml:space="preserve">panel hearing: </w:t>
      </w:r>
      <w:r>
        <w:rPr>
          <w:rFonts w:ascii="Arial" w:hAnsi="Arial" w:cs="Arial"/>
          <w:sz w:val="22"/>
          <w:szCs w:val="22"/>
        </w:rPr>
        <w:t>Week commenci</w:t>
      </w:r>
      <w:r w:rsidR="00801DB7">
        <w:rPr>
          <w:rFonts w:ascii="Arial" w:hAnsi="Arial" w:cs="Arial"/>
          <w:sz w:val="22"/>
          <w:szCs w:val="22"/>
        </w:rPr>
        <w:t>ng 22 April 2019</w:t>
      </w:r>
    </w:p>
    <w:p w:rsidR="001E53D0" w:rsidRPr="00F84C8A" w:rsidRDefault="001E53D0" w:rsidP="002337C9">
      <w:pPr>
        <w:pStyle w:val="Heading2"/>
        <w:jc w:val="left"/>
        <w:rPr>
          <w:rFonts w:cs="Arial"/>
          <w:sz w:val="20"/>
        </w:rPr>
      </w:pPr>
    </w:p>
    <w:sectPr w:rsidR="001E53D0" w:rsidRPr="00F84C8A"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B8" w:rsidRDefault="00563DB8">
      <w:r>
        <w:separator/>
      </w:r>
    </w:p>
  </w:endnote>
  <w:endnote w:type="continuationSeparator" w:id="0">
    <w:p w:rsidR="00563DB8" w:rsidRDefault="0056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B8" w:rsidRDefault="00563DB8">
      <w:r>
        <w:separator/>
      </w:r>
    </w:p>
  </w:footnote>
  <w:footnote w:type="continuationSeparator" w:id="0">
    <w:p w:rsidR="00563DB8" w:rsidRDefault="0056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DCD4356"/>
    <w:multiLevelType w:val="hybridMultilevel"/>
    <w:tmpl w:val="0542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41C96DBB"/>
    <w:multiLevelType w:val="multilevel"/>
    <w:tmpl w:val="EE48E85E"/>
    <w:lvl w:ilvl="0">
      <w:numFmt w:val="bullet"/>
      <w:lvlText w:val="·"/>
      <w:lvlJc w:val="left"/>
      <w:pPr>
        <w:tabs>
          <w:tab w:val="left" w:pos="360"/>
        </w:tabs>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1A76ED"/>
    <w:multiLevelType w:val="hybridMultilevel"/>
    <w:tmpl w:val="7E68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74D5660A"/>
    <w:multiLevelType w:val="multilevel"/>
    <w:tmpl w:val="255A6468"/>
    <w:lvl w:ilvl="0">
      <w:start w:val="1"/>
      <w:numFmt w:val="bullet"/>
      <w:lvlText w:val="-"/>
      <w:lvlJc w:val="left"/>
      <w:pPr>
        <w:tabs>
          <w:tab w:val="left" w:pos="256"/>
        </w:tabs>
      </w:pPr>
      <w:rPr>
        <w:rFonts w:ascii="Courier New" w:hAnsi="Courier New"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B00085"/>
    <w:multiLevelType w:val="singleLevel"/>
    <w:tmpl w:val="789C8126"/>
    <w:lvl w:ilvl="0">
      <w:start w:val="1"/>
      <w:numFmt w:val="decimal"/>
      <w:lvlText w:val="%1."/>
      <w:lvlJc w:val="left"/>
      <w:pPr>
        <w:tabs>
          <w:tab w:val="num" w:pos="360"/>
        </w:tabs>
        <w:ind w:left="360" w:hanging="360"/>
      </w:pPr>
    </w:lvl>
  </w:abstractNum>
  <w:abstractNum w:abstractNumId="23" w15:restartNumberingAfterBreak="0">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num w:numId="1">
    <w:abstractNumId w:val="7"/>
  </w:num>
  <w:num w:numId="2">
    <w:abstractNumId w:val="9"/>
  </w:num>
  <w:num w:numId="3">
    <w:abstractNumId w:val="19"/>
  </w:num>
  <w:num w:numId="4">
    <w:abstractNumId w:val="4"/>
  </w:num>
  <w:num w:numId="5">
    <w:abstractNumId w:val="17"/>
  </w:num>
  <w:num w:numId="6">
    <w:abstractNumId w:val="11"/>
  </w:num>
  <w:num w:numId="7">
    <w:abstractNumId w:val="23"/>
  </w:num>
  <w:num w:numId="8">
    <w:abstractNumId w:val="20"/>
  </w:num>
  <w:num w:numId="9">
    <w:abstractNumId w:val="13"/>
  </w:num>
  <w:num w:numId="10">
    <w:abstractNumId w:val="12"/>
  </w:num>
  <w:num w:numId="11">
    <w:abstractNumId w:val="22"/>
  </w:num>
  <w:num w:numId="12">
    <w:abstractNumId w:val="2"/>
  </w:num>
  <w:num w:numId="13">
    <w:abstractNumId w:val="22"/>
  </w:num>
  <w:num w:numId="14">
    <w:abstractNumId w:val="18"/>
  </w:num>
  <w:num w:numId="15">
    <w:abstractNumId w:val="3"/>
  </w:num>
  <w:num w:numId="16">
    <w:abstractNumId w:val="5"/>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6"/>
  </w:num>
  <w:num w:numId="40">
    <w:abstractNumId w:val="6"/>
  </w:num>
  <w:num w:numId="41">
    <w:abstractNumId w:val="8"/>
  </w:num>
  <w:num w:numId="42">
    <w:abstractNumId w:val="18"/>
  </w:num>
  <w:num w:numId="43">
    <w:abstractNumId w:val="1"/>
  </w:num>
  <w:num w:numId="44">
    <w:abstractNumId w:val="0"/>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0"/>
  </w:num>
  <w:num w:numId="64">
    <w:abstractNumId w:val="14"/>
  </w:num>
  <w:num w:numId="65">
    <w:abstractNumId w:val="21"/>
  </w:num>
  <w:num w:numId="66">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7693"/>
    <w:rsid w:val="00020327"/>
    <w:rsid w:val="00023C95"/>
    <w:rsid w:val="00035AEB"/>
    <w:rsid w:val="00051CF3"/>
    <w:rsid w:val="00055F40"/>
    <w:rsid w:val="00063365"/>
    <w:rsid w:val="00064A2F"/>
    <w:rsid w:val="000704D9"/>
    <w:rsid w:val="00073608"/>
    <w:rsid w:val="00081824"/>
    <w:rsid w:val="000856CA"/>
    <w:rsid w:val="00095995"/>
    <w:rsid w:val="000A66E7"/>
    <w:rsid w:val="000C430C"/>
    <w:rsid w:val="000C4CD6"/>
    <w:rsid w:val="000E3414"/>
    <w:rsid w:val="00104029"/>
    <w:rsid w:val="001068D8"/>
    <w:rsid w:val="00111E10"/>
    <w:rsid w:val="00133270"/>
    <w:rsid w:val="00142B0A"/>
    <w:rsid w:val="001438D7"/>
    <w:rsid w:val="0014525E"/>
    <w:rsid w:val="0016213E"/>
    <w:rsid w:val="00165FF9"/>
    <w:rsid w:val="0017548E"/>
    <w:rsid w:val="00197BB9"/>
    <w:rsid w:val="001A21C9"/>
    <w:rsid w:val="001B06DB"/>
    <w:rsid w:val="001C782E"/>
    <w:rsid w:val="001E53D0"/>
    <w:rsid w:val="001F1FC1"/>
    <w:rsid w:val="001F4836"/>
    <w:rsid w:val="00205478"/>
    <w:rsid w:val="00214220"/>
    <w:rsid w:val="00217E7B"/>
    <w:rsid w:val="002337C9"/>
    <w:rsid w:val="00261580"/>
    <w:rsid w:val="00261ED3"/>
    <w:rsid w:val="00276641"/>
    <w:rsid w:val="002822CF"/>
    <w:rsid w:val="0028296D"/>
    <w:rsid w:val="002A2C96"/>
    <w:rsid w:val="002B3EB1"/>
    <w:rsid w:val="002C196C"/>
    <w:rsid w:val="002D1F07"/>
    <w:rsid w:val="002E4A8F"/>
    <w:rsid w:val="002E7F0B"/>
    <w:rsid w:val="003001FD"/>
    <w:rsid w:val="00301495"/>
    <w:rsid w:val="00304325"/>
    <w:rsid w:val="0030757B"/>
    <w:rsid w:val="0032627D"/>
    <w:rsid w:val="00337D32"/>
    <w:rsid w:val="00346AC4"/>
    <w:rsid w:val="00354750"/>
    <w:rsid w:val="00385176"/>
    <w:rsid w:val="00385E61"/>
    <w:rsid w:val="003931D5"/>
    <w:rsid w:val="003A25B7"/>
    <w:rsid w:val="003A51DB"/>
    <w:rsid w:val="003B6F98"/>
    <w:rsid w:val="003C28E0"/>
    <w:rsid w:val="003D2237"/>
    <w:rsid w:val="003D246A"/>
    <w:rsid w:val="003D3452"/>
    <w:rsid w:val="003E2341"/>
    <w:rsid w:val="003F13D4"/>
    <w:rsid w:val="0040268F"/>
    <w:rsid w:val="004202FB"/>
    <w:rsid w:val="00420A5B"/>
    <w:rsid w:val="00431FE1"/>
    <w:rsid w:val="00434CFE"/>
    <w:rsid w:val="00437138"/>
    <w:rsid w:val="004666CF"/>
    <w:rsid w:val="0047628B"/>
    <w:rsid w:val="00482654"/>
    <w:rsid w:val="004937F8"/>
    <w:rsid w:val="00493840"/>
    <w:rsid w:val="0049725E"/>
    <w:rsid w:val="004A651A"/>
    <w:rsid w:val="004D2140"/>
    <w:rsid w:val="004F2A9F"/>
    <w:rsid w:val="004F56D4"/>
    <w:rsid w:val="005005EA"/>
    <w:rsid w:val="005244B9"/>
    <w:rsid w:val="00542081"/>
    <w:rsid w:val="00542809"/>
    <w:rsid w:val="00543625"/>
    <w:rsid w:val="00543994"/>
    <w:rsid w:val="00544C31"/>
    <w:rsid w:val="00563DB8"/>
    <w:rsid w:val="00564A3B"/>
    <w:rsid w:val="005712B5"/>
    <w:rsid w:val="00572C76"/>
    <w:rsid w:val="005801EE"/>
    <w:rsid w:val="00581829"/>
    <w:rsid w:val="00594DFD"/>
    <w:rsid w:val="005B0099"/>
    <w:rsid w:val="005C12D1"/>
    <w:rsid w:val="005C3387"/>
    <w:rsid w:val="005C7405"/>
    <w:rsid w:val="005D26C8"/>
    <w:rsid w:val="005D5D08"/>
    <w:rsid w:val="005F24B5"/>
    <w:rsid w:val="006104A9"/>
    <w:rsid w:val="006109DA"/>
    <w:rsid w:val="006247EE"/>
    <w:rsid w:val="006345EB"/>
    <w:rsid w:val="0063708B"/>
    <w:rsid w:val="006433AC"/>
    <w:rsid w:val="00646305"/>
    <w:rsid w:val="00647B8F"/>
    <w:rsid w:val="00662D4D"/>
    <w:rsid w:val="0067150F"/>
    <w:rsid w:val="00680189"/>
    <w:rsid w:val="006805BC"/>
    <w:rsid w:val="00684895"/>
    <w:rsid w:val="00686C31"/>
    <w:rsid w:val="006932D8"/>
    <w:rsid w:val="00694464"/>
    <w:rsid w:val="006A136D"/>
    <w:rsid w:val="006B7F7D"/>
    <w:rsid w:val="006C3B6C"/>
    <w:rsid w:val="006D3E93"/>
    <w:rsid w:val="006D63C2"/>
    <w:rsid w:val="006D740D"/>
    <w:rsid w:val="006E3361"/>
    <w:rsid w:val="006E75C1"/>
    <w:rsid w:val="00711237"/>
    <w:rsid w:val="0072782F"/>
    <w:rsid w:val="007458F4"/>
    <w:rsid w:val="0077738C"/>
    <w:rsid w:val="00783EC4"/>
    <w:rsid w:val="00785053"/>
    <w:rsid w:val="007A0E5D"/>
    <w:rsid w:val="007A4141"/>
    <w:rsid w:val="007A4DF1"/>
    <w:rsid w:val="007B140F"/>
    <w:rsid w:val="007B4CFE"/>
    <w:rsid w:val="007C17C9"/>
    <w:rsid w:val="007C1C7C"/>
    <w:rsid w:val="007C31E9"/>
    <w:rsid w:val="007D670B"/>
    <w:rsid w:val="007E0E39"/>
    <w:rsid w:val="00801DB7"/>
    <w:rsid w:val="008122AB"/>
    <w:rsid w:val="00814A45"/>
    <w:rsid w:val="00820E5D"/>
    <w:rsid w:val="00821867"/>
    <w:rsid w:val="00822295"/>
    <w:rsid w:val="00823BB7"/>
    <w:rsid w:val="008310E5"/>
    <w:rsid w:val="00831227"/>
    <w:rsid w:val="00836BA4"/>
    <w:rsid w:val="00840CA5"/>
    <w:rsid w:val="00851EEF"/>
    <w:rsid w:val="00855A78"/>
    <w:rsid w:val="00867C8E"/>
    <w:rsid w:val="0087020F"/>
    <w:rsid w:val="00876BCF"/>
    <w:rsid w:val="0088336B"/>
    <w:rsid w:val="008A1D1B"/>
    <w:rsid w:val="008B2FB6"/>
    <w:rsid w:val="008B7741"/>
    <w:rsid w:val="008C4DB0"/>
    <w:rsid w:val="008C7699"/>
    <w:rsid w:val="008E5673"/>
    <w:rsid w:val="008F7396"/>
    <w:rsid w:val="008F7745"/>
    <w:rsid w:val="0090146C"/>
    <w:rsid w:val="009079FA"/>
    <w:rsid w:val="00924A0E"/>
    <w:rsid w:val="009274C0"/>
    <w:rsid w:val="00935CDE"/>
    <w:rsid w:val="00944926"/>
    <w:rsid w:val="009461BA"/>
    <w:rsid w:val="00955A17"/>
    <w:rsid w:val="00961DA7"/>
    <w:rsid w:val="00993F1A"/>
    <w:rsid w:val="00996878"/>
    <w:rsid w:val="009A2D3F"/>
    <w:rsid w:val="009A3AB0"/>
    <w:rsid w:val="009C6BCC"/>
    <w:rsid w:val="009D08AF"/>
    <w:rsid w:val="009D251A"/>
    <w:rsid w:val="009D6F11"/>
    <w:rsid w:val="009D705C"/>
    <w:rsid w:val="009D76A6"/>
    <w:rsid w:val="009F2E4C"/>
    <w:rsid w:val="00A009DB"/>
    <w:rsid w:val="00A05982"/>
    <w:rsid w:val="00A06807"/>
    <w:rsid w:val="00A068E6"/>
    <w:rsid w:val="00A11194"/>
    <w:rsid w:val="00A27817"/>
    <w:rsid w:val="00A52D75"/>
    <w:rsid w:val="00A5730B"/>
    <w:rsid w:val="00A642C3"/>
    <w:rsid w:val="00A7587E"/>
    <w:rsid w:val="00A81656"/>
    <w:rsid w:val="00A852C0"/>
    <w:rsid w:val="00AA593E"/>
    <w:rsid w:val="00AB7ECC"/>
    <w:rsid w:val="00AC1043"/>
    <w:rsid w:val="00AC418E"/>
    <w:rsid w:val="00AD1558"/>
    <w:rsid w:val="00AD32D4"/>
    <w:rsid w:val="00AD4423"/>
    <w:rsid w:val="00AD7560"/>
    <w:rsid w:val="00B13591"/>
    <w:rsid w:val="00B13B0A"/>
    <w:rsid w:val="00B53E86"/>
    <w:rsid w:val="00B54B64"/>
    <w:rsid w:val="00B60940"/>
    <w:rsid w:val="00B6428E"/>
    <w:rsid w:val="00B71BA0"/>
    <w:rsid w:val="00B732D5"/>
    <w:rsid w:val="00B7336A"/>
    <w:rsid w:val="00B74D55"/>
    <w:rsid w:val="00B74D9F"/>
    <w:rsid w:val="00B75180"/>
    <w:rsid w:val="00B92DAC"/>
    <w:rsid w:val="00BB1CA4"/>
    <w:rsid w:val="00BB588F"/>
    <w:rsid w:val="00BB669E"/>
    <w:rsid w:val="00BC17A0"/>
    <w:rsid w:val="00BC596D"/>
    <w:rsid w:val="00BE15BA"/>
    <w:rsid w:val="00BE2F10"/>
    <w:rsid w:val="00BE302E"/>
    <w:rsid w:val="00BE3A87"/>
    <w:rsid w:val="00BE6FD3"/>
    <w:rsid w:val="00BF0C5D"/>
    <w:rsid w:val="00BF70B3"/>
    <w:rsid w:val="00C0606D"/>
    <w:rsid w:val="00C10F3F"/>
    <w:rsid w:val="00C2674A"/>
    <w:rsid w:val="00C457D9"/>
    <w:rsid w:val="00C537D1"/>
    <w:rsid w:val="00C613C5"/>
    <w:rsid w:val="00C77483"/>
    <w:rsid w:val="00C80272"/>
    <w:rsid w:val="00C93B2C"/>
    <w:rsid w:val="00CA7E81"/>
    <w:rsid w:val="00CB2BAD"/>
    <w:rsid w:val="00CC60C3"/>
    <w:rsid w:val="00CD5C7E"/>
    <w:rsid w:val="00CD64B8"/>
    <w:rsid w:val="00CE4372"/>
    <w:rsid w:val="00D2003D"/>
    <w:rsid w:val="00D26ECE"/>
    <w:rsid w:val="00D2739C"/>
    <w:rsid w:val="00D31052"/>
    <w:rsid w:val="00D33BC2"/>
    <w:rsid w:val="00D4629C"/>
    <w:rsid w:val="00DA0679"/>
    <w:rsid w:val="00DC3509"/>
    <w:rsid w:val="00DC3B06"/>
    <w:rsid w:val="00DC4FC3"/>
    <w:rsid w:val="00DC5939"/>
    <w:rsid w:val="00DD563A"/>
    <w:rsid w:val="00DE5641"/>
    <w:rsid w:val="00DE5C1C"/>
    <w:rsid w:val="00E07AF5"/>
    <w:rsid w:val="00E12A3D"/>
    <w:rsid w:val="00E206FB"/>
    <w:rsid w:val="00E23FA5"/>
    <w:rsid w:val="00E37292"/>
    <w:rsid w:val="00E401A9"/>
    <w:rsid w:val="00E41963"/>
    <w:rsid w:val="00E50239"/>
    <w:rsid w:val="00E61D20"/>
    <w:rsid w:val="00E63FCC"/>
    <w:rsid w:val="00E670BD"/>
    <w:rsid w:val="00E71F3F"/>
    <w:rsid w:val="00E744E0"/>
    <w:rsid w:val="00E85EC7"/>
    <w:rsid w:val="00ED3674"/>
    <w:rsid w:val="00ED49CF"/>
    <w:rsid w:val="00EE21EB"/>
    <w:rsid w:val="00F27102"/>
    <w:rsid w:val="00F41346"/>
    <w:rsid w:val="00F5762E"/>
    <w:rsid w:val="00F7264E"/>
    <w:rsid w:val="00F84C8A"/>
    <w:rsid w:val="00F92B15"/>
    <w:rsid w:val="00F97299"/>
    <w:rsid w:val="00FB78ED"/>
    <w:rsid w:val="00FC1717"/>
    <w:rsid w:val="00FC2777"/>
    <w:rsid w:val="00FC3844"/>
    <w:rsid w:val="00FC62CF"/>
    <w:rsid w:val="00FD28E4"/>
    <w:rsid w:val="00FE3326"/>
    <w:rsid w:val="00FE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link w:val="Heading2Char"/>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43"/>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44"/>
      </w:numPr>
      <w:spacing w:before="0" w:after="200"/>
      <w:ind w:left="567" w:hanging="283"/>
      <w:jc w:val="left"/>
    </w:pPr>
    <w:rPr>
      <w:rFonts w:ascii="Arial" w:hAnsi="Arial"/>
      <w:sz w:val="20"/>
      <w:szCs w:val="24"/>
    </w:rPr>
  </w:style>
  <w:style w:type="table" w:styleId="TableGrid">
    <w:name w:val="Table Grid"/>
    <w:basedOn w:val="TableNormal"/>
    <w:rsid w:val="00E2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qFormat/>
    <w:rsid w:val="00564A3B"/>
    <w:pPr>
      <w:spacing w:before="240" w:after="240"/>
      <w:jc w:val="left"/>
    </w:pPr>
    <w:rPr>
      <w:rFonts w:cs="Arial"/>
      <w:sz w:val="20"/>
    </w:rPr>
  </w:style>
  <w:style w:type="character" w:customStyle="1" w:styleId="Heading2Char">
    <w:name w:val="Heading 2 Char"/>
    <w:basedOn w:val="DefaultParagraphFont"/>
    <w:link w:val="Heading2"/>
    <w:rsid w:val="0090146C"/>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lanning/planning-schemes/changing-the-planning-scheme/planning-documents-on-exhibi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ping.banyul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D178-985A-4A25-8E0F-90B3845B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7281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8478</CharactersWithSpaces>
  <SharedDoc>false</SharedDoc>
  <HLinks>
    <vt:vector size="6" baseType="variant">
      <vt:variant>
        <vt:i4>2490428</vt:i4>
      </vt:variant>
      <vt:variant>
        <vt:i4>0</vt:i4>
      </vt:variant>
      <vt:variant>
        <vt:i4>0</vt:i4>
      </vt:variant>
      <vt:variant>
        <vt:i4>5</vt:i4>
      </vt:variant>
      <vt:variant>
        <vt:lpwstr>http://www.dtpli.vic.gov.au/planning/planning-schemes/changing-the-planning-scheme/planning-documents-on-exhibition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2018-11-08T23:58:00Z</dcterms:created>
  <dcterms:modified xsi:type="dcterms:W3CDTF">2018-11-13T00:56:00Z</dcterms:modified>
</cp:coreProperties>
</file>